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053C" w14:textId="77777777" w:rsidR="00015108" w:rsidRPr="00DF5A55" w:rsidRDefault="00015108" w:rsidP="00015108">
      <w:pPr>
        <w:pStyle w:val="Odsekzoznamu"/>
        <w:numPr>
          <w:ilvl w:val="0"/>
          <w:numId w:val="22"/>
        </w:numPr>
        <w:rPr>
          <w:rFonts w:cs="Arial"/>
          <w:vanish/>
        </w:rPr>
      </w:pPr>
    </w:p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-510832758"/>
        <w:docPartObj>
          <w:docPartGallery w:val="Table of Contents"/>
          <w:docPartUnique/>
        </w:docPartObj>
      </w:sdtPr>
      <w:sdtEndPr>
        <w:rPr>
          <w:rFonts w:ascii="Arial Narrow" w:hAnsi="Arial Narrow"/>
          <w:b/>
          <w:bCs/>
          <w:sz w:val="20"/>
        </w:rPr>
      </w:sdtEndPr>
      <w:sdtContent>
        <w:p w14:paraId="5609F91F" w14:textId="795F4F76" w:rsidR="00364B58" w:rsidRPr="00DF5A55" w:rsidRDefault="00364B58" w:rsidP="000C7598">
          <w:pPr>
            <w:pStyle w:val="Hlavikaobsahu"/>
            <w:jc w:val="center"/>
            <w:rPr>
              <w:rFonts w:ascii="Arial Narrow" w:hAnsi="Arial Narrow"/>
              <w:color w:val="auto"/>
              <w:sz w:val="28"/>
              <w:szCs w:val="28"/>
            </w:rPr>
          </w:pPr>
          <w:r w:rsidRPr="00DF5A55">
            <w:rPr>
              <w:rFonts w:ascii="Arial Narrow" w:hAnsi="Arial Narrow"/>
              <w:color w:val="auto"/>
              <w:sz w:val="28"/>
              <w:szCs w:val="28"/>
            </w:rPr>
            <w:t>O</w:t>
          </w:r>
          <w:r w:rsidR="00123B9C" w:rsidRPr="00DF5A55">
            <w:rPr>
              <w:rFonts w:ascii="Arial Narrow" w:hAnsi="Arial Narrow"/>
              <w:color w:val="auto"/>
              <w:sz w:val="28"/>
              <w:szCs w:val="28"/>
            </w:rPr>
            <w:t>BSAH</w:t>
          </w:r>
        </w:p>
        <w:p w14:paraId="57A6F945" w14:textId="77777777" w:rsidR="007702A4" w:rsidRPr="00DF5A55" w:rsidRDefault="007702A4" w:rsidP="007702A4">
          <w:pPr>
            <w:rPr>
              <w:lang w:eastAsia="sk-SK"/>
            </w:rPr>
          </w:pPr>
        </w:p>
        <w:p w14:paraId="795887D1" w14:textId="5C001BF3" w:rsidR="006A7F4E" w:rsidRDefault="00364B58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r w:rsidRPr="00DF5A55">
            <w:fldChar w:fldCharType="begin"/>
          </w:r>
          <w:r w:rsidRPr="00DF5A55">
            <w:instrText xml:space="preserve"> TOC \o "1-3" \h \z \u </w:instrText>
          </w:r>
          <w:r w:rsidRPr="00DF5A55">
            <w:fldChar w:fldCharType="separate"/>
          </w:r>
          <w:hyperlink w:anchor="_Toc86606963" w:history="1">
            <w:r w:rsidR="006A7F4E" w:rsidRPr="00611658">
              <w:rPr>
                <w:rStyle w:val="Hypertextovprepojenie"/>
                <w:bCs/>
                <w:iCs/>
                <w:noProof/>
              </w:rPr>
              <w:t>1.  ÚVOD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_Toc86606963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 w:rsidR="009F2693">
              <w:rPr>
                <w:noProof/>
                <w:webHidden/>
              </w:rPr>
              <w:t>2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545F59FB" w14:textId="69B61868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4" w:history="1">
            <w:r w:rsidR="006A7F4E" w:rsidRPr="00611658">
              <w:rPr>
                <w:rStyle w:val="Hypertextovprepojenie"/>
                <w:bCs/>
                <w:iCs/>
                <w:noProof/>
              </w:rPr>
              <w:t>2. ZÁKLADNÉ ÚDAJE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_Toc86606964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690BD22A" w14:textId="0A0D521A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5" w:history="1">
            <w:r w:rsidR="006A7F4E" w:rsidRPr="00611658">
              <w:rPr>
                <w:rStyle w:val="Hypertextovprepojenie"/>
                <w:bCs/>
                <w:iCs/>
                <w:noProof/>
              </w:rPr>
              <w:t xml:space="preserve">3.  </w:t>
            </w:r>
            <w:r w:rsidR="006A7F4E" w:rsidRPr="00611658">
              <w:rPr>
                <w:rStyle w:val="Hypertextovprepojenie"/>
                <w:bCs/>
                <w:iCs/>
                <w:caps/>
                <w:noProof/>
              </w:rPr>
              <w:t>SPOTREBA ZEMNÉHO PLYNU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_Toc86606965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058A8940" w14:textId="4FFD3B70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6" w:history="1">
            <w:r w:rsidR="006A7F4E" w:rsidRPr="00611658">
              <w:rPr>
                <w:rStyle w:val="Hypertextovprepojenie"/>
                <w:bCs/>
                <w:iCs/>
                <w:caps/>
                <w:noProof/>
              </w:rPr>
              <w:t>4.  Popis technického riešenia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_Toc86606966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2EC0169F" w14:textId="248C601C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7" w:history="1">
            <w:r w:rsidR="006A7F4E" w:rsidRPr="00611658">
              <w:rPr>
                <w:rStyle w:val="Hypertextovprepojenie"/>
                <w:bCs/>
                <w:iCs/>
                <w:caps/>
                <w:noProof/>
              </w:rPr>
              <w:t>5.  Skúšky zariadení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_Toc86606967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1A309859" w14:textId="6B801362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8" w:history="1">
            <w:r w:rsidR="006A7F4E" w:rsidRPr="00611658">
              <w:rPr>
                <w:rStyle w:val="Hypertextovprepojenie"/>
                <w:bCs/>
                <w:iCs/>
                <w:caps/>
                <w:noProof/>
              </w:rPr>
              <w:t>6.  uvedenie do prevádzky, Prevádzkové požiadavky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_Toc86606968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555145DA" w14:textId="2FAB1289" w:rsidR="006A7F4E" w:rsidRDefault="009F2693">
          <w:pPr>
            <w:pStyle w:val="Obsah2"/>
            <w:tabs>
              <w:tab w:val="right" w:leader="dot" w:pos="10194"/>
            </w:tabs>
            <w:rPr>
              <w:rFonts w:asciiTheme="minorHAnsi" w:eastAsiaTheme="minorEastAsia" w:hAnsiTheme="minorHAnsi"/>
              <w:noProof/>
              <w:sz w:val="22"/>
              <w:lang w:eastAsia="sk-SK"/>
            </w:rPr>
          </w:pPr>
          <w:hyperlink w:anchor="_Toc86606969" w:history="1">
            <w:r w:rsidR="006A7F4E" w:rsidRPr="00611658">
              <w:rPr>
                <w:rStyle w:val="Hypertextovprepojenie"/>
                <w:bCs/>
                <w:iCs/>
                <w:caps/>
                <w:noProof/>
              </w:rPr>
              <w:t>7.  bezpečnosť a ochrana zdravia pri práci</w:t>
            </w:r>
            <w:r w:rsidR="006A7F4E">
              <w:rPr>
                <w:noProof/>
                <w:webHidden/>
              </w:rPr>
              <w:tab/>
            </w:r>
            <w:r w:rsidR="006A7F4E">
              <w:rPr>
                <w:noProof/>
                <w:webHidden/>
              </w:rPr>
              <w:fldChar w:fldCharType="begin"/>
            </w:r>
            <w:r w:rsidR="006A7F4E">
              <w:rPr>
                <w:noProof/>
                <w:webHidden/>
              </w:rPr>
              <w:instrText xml:space="preserve"> PAGEREF _Toc86606969 \h </w:instrText>
            </w:r>
            <w:r w:rsidR="006A7F4E">
              <w:rPr>
                <w:noProof/>
                <w:webHidden/>
              </w:rPr>
            </w:r>
            <w:r w:rsidR="006A7F4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A7F4E">
              <w:rPr>
                <w:noProof/>
                <w:webHidden/>
              </w:rPr>
              <w:fldChar w:fldCharType="end"/>
            </w:r>
          </w:hyperlink>
        </w:p>
        <w:p w14:paraId="001428D5" w14:textId="29F1ACE4" w:rsidR="00364B58" w:rsidRPr="00DF5A55" w:rsidRDefault="00364B58">
          <w:r w:rsidRPr="00DF5A55">
            <w:rPr>
              <w:b/>
              <w:bCs/>
            </w:rPr>
            <w:fldChar w:fldCharType="end"/>
          </w:r>
        </w:p>
      </w:sdtContent>
    </w:sdt>
    <w:p w14:paraId="206F122E" w14:textId="77777777" w:rsidR="0072255A" w:rsidRPr="00DF5A55" w:rsidRDefault="0072255A" w:rsidP="00015108">
      <w:pPr>
        <w:rPr>
          <w:rFonts w:cs="Arial"/>
        </w:rPr>
      </w:pPr>
    </w:p>
    <w:p w14:paraId="60192BEC" w14:textId="77777777" w:rsidR="0072255A" w:rsidRPr="00DF5A55" w:rsidRDefault="0072255A" w:rsidP="00015108">
      <w:pPr>
        <w:rPr>
          <w:rFonts w:cs="Arial"/>
        </w:rPr>
      </w:pPr>
    </w:p>
    <w:p w14:paraId="40B6D4F6" w14:textId="77777777" w:rsidR="0072255A" w:rsidRPr="00DF5A55" w:rsidRDefault="0072255A" w:rsidP="00015108">
      <w:pPr>
        <w:rPr>
          <w:rFonts w:cs="Arial"/>
        </w:rPr>
      </w:pPr>
    </w:p>
    <w:p w14:paraId="4114C9D1" w14:textId="77777777" w:rsidR="0072255A" w:rsidRPr="00DF5A55" w:rsidRDefault="0072255A" w:rsidP="00015108">
      <w:pPr>
        <w:rPr>
          <w:rFonts w:cs="Arial"/>
        </w:rPr>
      </w:pPr>
    </w:p>
    <w:p w14:paraId="558F38B5" w14:textId="77777777" w:rsidR="0072255A" w:rsidRPr="00DF5A55" w:rsidRDefault="0072255A" w:rsidP="00015108">
      <w:pPr>
        <w:rPr>
          <w:rFonts w:cs="Arial"/>
        </w:rPr>
      </w:pPr>
    </w:p>
    <w:p w14:paraId="727F532A" w14:textId="77777777" w:rsidR="0072255A" w:rsidRPr="00DF5A55" w:rsidRDefault="0072255A" w:rsidP="00015108">
      <w:pPr>
        <w:rPr>
          <w:rFonts w:cs="Arial"/>
        </w:rPr>
      </w:pPr>
    </w:p>
    <w:p w14:paraId="19A6632D" w14:textId="77777777" w:rsidR="0072255A" w:rsidRPr="00DF5A55" w:rsidRDefault="0072255A" w:rsidP="00015108">
      <w:pPr>
        <w:rPr>
          <w:rFonts w:cs="Arial"/>
        </w:rPr>
      </w:pPr>
    </w:p>
    <w:p w14:paraId="1F378500" w14:textId="77777777" w:rsidR="0072255A" w:rsidRPr="00DF5A55" w:rsidRDefault="0072255A" w:rsidP="00015108">
      <w:pPr>
        <w:rPr>
          <w:rFonts w:cs="Arial"/>
        </w:rPr>
      </w:pPr>
    </w:p>
    <w:p w14:paraId="2FF607B3" w14:textId="77777777" w:rsidR="0072255A" w:rsidRPr="00DF5A55" w:rsidRDefault="0072255A" w:rsidP="00015108">
      <w:pPr>
        <w:rPr>
          <w:rFonts w:cs="Arial"/>
        </w:rPr>
      </w:pPr>
    </w:p>
    <w:p w14:paraId="0C92286F" w14:textId="77777777" w:rsidR="0072255A" w:rsidRPr="00DF5A55" w:rsidRDefault="0072255A" w:rsidP="00015108">
      <w:pPr>
        <w:rPr>
          <w:rFonts w:cs="Arial"/>
        </w:rPr>
      </w:pPr>
    </w:p>
    <w:p w14:paraId="5E25EBF6" w14:textId="77777777" w:rsidR="0072255A" w:rsidRPr="00DF5A55" w:rsidRDefault="0072255A" w:rsidP="00015108">
      <w:pPr>
        <w:rPr>
          <w:rFonts w:cs="Arial"/>
        </w:rPr>
      </w:pPr>
    </w:p>
    <w:p w14:paraId="6FDA1AB3" w14:textId="77777777" w:rsidR="0072255A" w:rsidRPr="00DF5A55" w:rsidRDefault="0072255A" w:rsidP="00015108">
      <w:pPr>
        <w:rPr>
          <w:rFonts w:cs="Arial"/>
        </w:rPr>
      </w:pPr>
    </w:p>
    <w:p w14:paraId="1D3F392B" w14:textId="77777777" w:rsidR="0072255A" w:rsidRPr="00DF5A55" w:rsidRDefault="0072255A" w:rsidP="00015108">
      <w:pPr>
        <w:rPr>
          <w:rFonts w:cs="Arial"/>
        </w:rPr>
      </w:pPr>
    </w:p>
    <w:p w14:paraId="1D80EF14" w14:textId="77777777" w:rsidR="0072255A" w:rsidRPr="00DF5A55" w:rsidRDefault="0072255A" w:rsidP="00015108">
      <w:pPr>
        <w:rPr>
          <w:rFonts w:cs="Arial"/>
        </w:rPr>
      </w:pPr>
    </w:p>
    <w:p w14:paraId="76609E8A" w14:textId="77777777" w:rsidR="0072255A" w:rsidRPr="00DF5A55" w:rsidRDefault="0072255A" w:rsidP="00015108">
      <w:pPr>
        <w:rPr>
          <w:rFonts w:cs="Arial"/>
        </w:rPr>
      </w:pPr>
    </w:p>
    <w:p w14:paraId="73AF10E3" w14:textId="77777777" w:rsidR="0072255A" w:rsidRPr="00DF5A55" w:rsidRDefault="0072255A" w:rsidP="00015108">
      <w:pPr>
        <w:rPr>
          <w:rFonts w:cs="Arial"/>
        </w:rPr>
      </w:pPr>
    </w:p>
    <w:p w14:paraId="1E27BEF1" w14:textId="77777777" w:rsidR="0072255A" w:rsidRPr="00DF5A55" w:rsidRDefault="0072255A" w:rsidP="00015108">
      <w:pPr>
        <w:rPr>
          <w:rFonts w:cs="Arial"/>
        </w:rPr>
      </w:pPr>
    </w:p>
    <w:p w14:paraId="75D4DB5F" w14:textId="77777777" w:rsidR="00364B58" w:rsidRPr="00DF5A55" w:rsidRDefault="00364B58" w:rsidP="00015108">
      <w:pPr>
        <w:rPr>
          <w:rFonts w:cs="Arial"/>
        </w:rPr>
      </w:pPr>
    </w:p>
    <w:p w14:paraId="01F0B1B8" w14:textId="77777777" w:rsidR="00364B58" w:rsidRPr="00DF5A55" w:rsidRDefault="00364B58" w:rsidP="00015108">
      <w:pPr>
        <w:rPr>
          <w:rFonts w:cs="Arial"/>
        </w:rPr>
      </w:pPr>
    </w:p>
    <w:p w14:paraId="09DE8A08" w14:textId="77777777" w:rsidR="0072255A" w:rsidRPr="00DF5A55" w:rsidRDefault="0072255A">
      <w:pPr>
        <w:rPr>
          <w:rFonts w:cs="Arial"/>
        </w:rPr>
      </w:pPr>
      <w:r w:rsidRPr="00DF5A55">
        <w:rPr>
          <w:rFonts w:cs="Arial"/>
        </w:rPr>
        <w:br w:type="page"/>
      </w:r>
    </w:p>
    <w:p w14:paraId="52034F16" w14:textId="0BEE8E5C" w:rsidR="00C871E7" w:rsidRDefault="0072255A" w:rsidP="00FD5C12">
      <w:pPr>
        <w:pStyle w:val="Nadpis2"/>
        <w:numPr>
          <w:ilvl w:val="0"/>
          <w:numId w:val="26"/>
        </w:numPr>
        <w:spacing w:before="240" w:after="240"/>
      </w:pPr>
      <w:bookmarkStart w:id="0" w:name="_Toc31892358"/>
      <w:bookmarkStart w:id="1" w:name="_Toc86606963"/>
      <w:r w:rsidRPr="00D82934">
        <w:rPr>
          <w:rFonts w:ascii="Arial Narrow" w:hAnsi="Arial Narrow"/>
          <w:bCs/>
          <w:iCs/>
          <w:color w:val="003366"/>
          <w:sz w:val="28"/>
          <w:szCs w:val="28"/>
        </w:rPr>
        <w:lastRenderedPageBreak/>
        <w:t>ÚVOD</w:t>
      </w:r>
      <w:bookmarkEnd w:id="0"/>
      <w:bookmarkEnd w:id="1"/>
      <w:r w:rsidR="00C871E7">
        <w:t xml:space="preserve"> </w:t>
      </w:r>
    </w:p>
    <w:p w14:paraId="5D125009" w14:textId="7C392A0C" w:rsidR="00524743" w:rsidRDefault="00BD2994" w:rsidP="003B0668">
      <w:r w:rsidRPr="00DF5A55">
        <w:t xml:space="preserve">V tejto časti projektu </w:t>
      </w:r>
      <w:r w:rsidR="00C871E7">
        <w:t xml:space="preserve">pre stavebné povolenie </w:t>
      </w:r>
      <w:r w:rsidRPr="00DF5A55">
        <w:t xml:space="preserve">je riešené odberné plynové zariadenie (OPZ) pre pripojenie </w:t>
      </w:r>
      <w:r w:rsidR="006F6F9D">
        <w:t xml:space="preserve">navrhovaných </w:t>
      </w:r>
      <w:r w:rsidRPr="00DF5A55">
        <w:t>plynov</w:t>
      </w:r>
      <w:r w:rsidR="006F6F9D">
        <w:t xml:space="preserve">ých spotre-         bičov ,2 ks závesné kondenzačné plynové kotly Logano plus GB192 </w:t>
      </w:r>
      <w:r w:rsidR="001E7312">
        <w:t>-50 iW</w:t>
      </w:r>
      <w:r w:rsidRPr="00DF5A55">
        <w:t xml:space="preserve">. OPZ rieši </w:t>
      </w:r>
      <w:r w:rsidR="001E7312">
        <w:t xml:space="preserve">rekonštrukciu jestvujúcich </w:t>
      </w:r>
      <w:r w:rsidRPr="00DF5A55">
        <w:t>potrubn</w:t>
      </w:r>
      <w:r w:rsidR="001E7312">
        <w:t>ých</w:t>
      </w:r>
      <w:r w:rsidRPr="00DF5A55">
        <w:t xml:space="preserve"> rozvod</w:t>
      </w:r>
      <w:r w:rsidR="001E7312">
        <w:t>ov</w:t>
      </w:r>
      <w:r w:rsidRPr="00DF5A55">
        <w:t xml:space="preserve"> zemného plynu od napojenia na HU </w:t>
      </w:r>
      <w:r w:rsidR="001E7312">
        <w:t>N</w:t>
      </w:r>
      <w:r w:rsidRPr="00DF5A55">
        <w:t xml:space="preserve">TL pripojovací plynovod (PP), </w:t>
      </w:r>
      <w:r w:rsidR="001E7312">
        <w:t xml:space="preserve"> v jestvujúcej skrini </w:t>
      </w:r>
      <w:r w:rsidRPr="00DF5A55">
        <w:t>MZ, po napojenie navrhovan</w:t>
      </w:r>
      <w:r w:rsidR="000E0532">
        <w:t>ých</w:t>
      </w:r>
      <w:r w:rsidRPr="00DF5A55">
        <w:t xml:space="preserve"> plynov</w:t>
      </w:r>
      <w:r w:rsidR="000E0532">
        <w:t xml:space="preserve">ých </w:t>
      </w:r>
      <w:r w:rsidRPr="00DF5A55">
        <w:t xml:space="preserve"> spotrebič</w:t>
      </w:r>
      <w:r w:rsidR="000E0532">
        <w:t>ov</w:t>
      </w:r>
      <w:r w:rsidRPr="00DF5A55">
        <w:t>.</w:t>
      </w:r>
    </w:p>
    <w:p w14:paraId="380F0DD0" w14:textId="77777777" w:rsidR="000E282B" w:rsidRPr="00DF5A55" w:rsidRDefault="000E282B" w:rsidP="003B0668"/>
    <w:p w14:paraId="19AF6F59" w14:textId="77777777" w:rsidR="00BD2994" w:rsidRPr="00DF5A55" w:rsidRDefault="00BD2994" w:rsidP="003B0668">
      <w:r w:rsidRPr="00DF5A55">
        <w:t>Projektová dokumentácia je vypracovaná predovšetkým podľa nasledujúcich noriem a predpisov :</w:t>
      </w:r>
    </w:p>
    <w:tbl>
      <w:tblPr>
        <w:tblStyle w:val="Mriekatabuky"/>
        <w:tblW w:w="100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3"/>
        <w:gridCol w:w="7399"/>
      </w:tblGrid>
      <w:tr w:rsidR="00A07202" w:rsidRPr="00DF5A55" w14:paraId="6212FDAE" w14:textId="77777777" w:rsidTr="00524743">
        <w:trPr>
          <w:trHeight w:val="264"/>
        </w:trPr>
        <w:tc>
          <w:tcPr>
            <w:tcW w:w="2623" w:type="dxa"/>
          </w:tcPr>
          <w:p w14:paraId="7A4F5C22" w14:textId="3431F0DD" w:rsidR="00A07202" w:rsidRPr="00DF5A55" w:rsidRDefault="000E0532" w:rsidP="003B0668">
            <w:r>
              <w:t xml:space="preserve">  </w:t>
            </w:r>
            <w:r w:rsidR="00BD2994" w:rsidRPr="00DF5A55">
              <w:t xml:space="preserve">TPP 704 01  </w:t>
            </w:r>
          </w:p>
        </w:tc>
        <w:tc>
          <w:tcPr>
            <w:tcW w:w="0" w:type="auto"/>
          </w:tcPr>
          <w:p w14:paraId="518E7B0A" w14:textId="77777777" w:rsidR="00A07202" w:rsidRPr="00DF5A55" w:rsidRDefault="00BD2994" w:rsidP="003B0668">
            <w:r w:rsidRPr="00DF5A55">
              <w:t>Technické pravidlo plyn – Odberné plynové zariadenia na zemný plyn v budovách</w:t>
            </w:r>
          </w:p>
        </w:tc>
      </w:tr>
      <w:tr w:rsidR="00A07202" w:rsidRPr="00DF5A55" w14:paraId="6BF8D0C3" w14:textId="77777777" w:rsidTr="00524743">
        <w:trPr>
          <w:trHeight w:val="264"/>
        </w:trPr>
        <w:tc>
          <w:tcPr>
            <w:tcW w:w="2623" w:type="dxa"/>
          </w:tcPr>
          <w:p w14:paraId="0D9AEE41" w14:textId="77777777" w:rsidR="00A07202" w:rsidRPr="00DF5A55" w:rsidRDefault="00A07202" w:rsidP="003B0668">
            <w:r w:rsidRPr="00DF5A55">
              <w:t>- STN EN 12831</w:t>
            </w:r>
          </w:p>
        </w:tc>
        <w:tc>
          <w:tcPr>
            <w:tcW w:w="0" w:type="auto"/>
          </w:tcPr>
          <w:p w14:paraId="0BB2F8A0" w14:textId="77777777" w:rsidR="00A07202" w:rsidRPr="00DF5A55" w:rsidRDefault="00BD2994" w:rsidP="003B0668">
            <w:r w:rsidRPr="00DF5A55">
              <w:t>Zásobovanie plynom. Plynovody na zásobovanie budov, max. prev. tlak do 5 bar</w:t>
            </w:r>
          </w:p>
        </w:tc>
      </w:tr>
      <w:tr w:rsidR="00A07202" w:rsidRPr="00DF5A55" w14:paraId="4DC4F5B1" w14:textId="77777777" w:rsidTr="00524743">
        <w:trPr>
          <w:trHeight w:val="264"/>
        </w:trPr>
        <w:tc>
          <w:tcPr>
            <w:tcW w:w="2623" w:type="dxa"/>
          </w:tcPr>
          <w:p w14:paraId="436DC359" w14:textId="77777777" w:rsidR="00A07202" w:rsidRPr="00DF5A55" w:rsidRDefault="00A07202" w:rsidP="003B0668">
            <w:r w:rsidRPr="00DF5A55">
              <w:t xml:space="preserve">- </w:t>
            </w:r>
            <w:r w:rsidR="00BD2994" w:rsidRPr="00DF5A55">
              <w:t>STN 38 6405</w:t>
            </w:r>
          </w:p>
        </w:tc>
        <w:tc>
          <w:tcPr>
            <w:tcW w:w="0" w:type="auto"/>
          </w:tcPr>
          <w:p w14:paraId="64EC0692" w14:textId="77777777" w:rsidR="00A07202" w:rsidRPr="00DF5A55" w:rsidRDefault="00BD2994" w:rsidP="003B0668">
            <w:r w:rsidRPr="00DF5A55">
              <w:t>Plynové zariadenia. Zásady prevádzky</w:t>
            </w:r>
          </w:p>
        </w:tc>
      </w:tr>
      <w:tr w:rsidR="00A07202" w:rsidRPr="00DF5A55" w14:paraId="626222AA" w14:textId="77777777" w:rsidTr="00524743">
        <w:trPr>
          <w:trHeight w:val="264"/>
        </w:trPr>
        <w:tc>
          <w:tcPr>
            <w:tcW w:w="2623" w:type="dxa"/>
          </w:tcPr>
          <w:p w14:paraId="18125B4C" w14:textId="77777777" w:rsidR="00A07202" w:rsidRPr="00DF5A55" w:rsidRDefault="00A07202" w:rsidP="003B0668">
            <w:r w:rsidRPr="00DF5A55">
              <w:t xml:space="preserve">- </w:t>
            </w:r>
            <w:r w:rsidR="00BD2994" w:rsidRPr="00DF5A55">
              <w:t>STN 73 4201</w:t>
            </w:r>
          </w:p>
        </w:tc>
        <w:tc>
          <w:tcPr>
            <w:tcW w:w="0" w:type="auto"/>
          </w:tcPr>
          <w:p w14:paraId="13453DD7" w14:textId="77777777" w:rsidR="00A07202" w:rsidRPr="00DF5A55" w:rsidRDefault="00BD2994" w:rsidP="003B0668">
            <w:r w:rsidRPr="00DF5A55">
              <w:t>Navrhovanie komínov a dymovodov</w:t>
            </w:r>
          </w:p>
        </w:tc>
      </w:tr>
      <w:tr w:rsidR="00A07202" w:rsidRPr="00DF5A55" w14:paraId="4105F0A1" w14:textId="77777777" w:rsidTr="00524743">
        <w:trPr>
          <w:trHeight w:val="278"/>
        </w:trPr>
        <w:tc>
          <w:tcPr>
            <w:tcW w:w="2623" w:type="dxa"/>
          </w:tcPr>
          <w:p w14:paraId="69D8D17C" w14:textId="77777777" w:rsidR="00A07202" w:rsidRPr="00DF5A55" w:rsidRDefault="00A07202" w:rsidP="003B0668">
            <w:r w:rsidRPr="00DF5A55">
              <w:t xml:space="preserve">- </w:t>
            </w:r>
            <w:r w:rsidR="00BD2994" w:rsidRPr="00DF5A55">
              <w:t>STN 73 4210</w:t>
            </w:r>
          </w:p>
        </w:tc>
        <w:tc>
          <w:tcPr>
            <w:tcW w:w="0" w:type="auto"/>
          </w:tcPr>
          <w:p w14:paraId="3DE97A4F" w14:textId="77777777" w:rsidR="00A07202" w:rsidRPr="00DF5A55" w:rsidRDefault="00BD2994" w:rsidP="003B0668">
            <w:r w:rsidRPr="00DF5A55">
              <w:t>Zhotovovanie komínov a dymovodov a pripojovanie spotrebičov palív</w:t>
            </w:r>
          </w:p>
        </w:tc>
      </w:tr>
      <w:tr w:rsidR="00A07202" w:rsidRPr="00DF5A55" w14:paraId="48C637D6" w14:textId="77777777" w:rsidTr="00524743">
        <w:trPr>
          <w:trHeight w:val="264"/>
        </w:trPr>
        <w:tc>
          <w:tcPr>
            <w:tcW w:w="2623" w:type="dxa"/>
          </w:tcPr>
          <w:p w14:paraId="1BED38B7" w14:textId="77777777" w:rsidR="00A07202" w:rsidRPr="00DF5A55" w:rsidRDefault="00A07202" w:rsidP="003B0668">
            <w:r w:rsidRPr="00DF5A55">
              <w:t xml:space="preserve">- </w:t>
            </w:r>
            <w:r w:rsidR="00BD2994" w:rsidRPr="00DF5A55">
              <w:t>STN EN 1443</w:t>
            </w:r>
          </w:p>
        </w:tc>
        <w:tc>
          <w:tcPr>
            <w:tcW w:w="0" w:type="auto"/>
          </w:tcPr>
          <w:p w14:paraId="76A5915B" w14:textId="77777777" w:rsidR="00A07202" w:rsidRPr="00DF5A55" w:rsidRDefault="00BD2994" w:rsidP="003B0668">
            <w:r w:rsidRPr="00DF5A55">
              <w:t>Komíny. Všeobecné požiadavky</w:t>
            </w:r>
          </w:p>
        </w:tc>
      </w:tr>
      <w:tr w:rsidR="00A07202" w:rsidRPr="00DF5A55" w14:paraId="37126CB3" w14:textId="77777777" w:rsidTr="00524743">
        <w:trPr>
          <w:trHeight w:val="264"/>
        </w:trPr>
        <w:tc>
          <w:tcPr>
            <w:tcW w:w="2623" w:type="dxa"/>
          </w:tcPr>
          <w:p w14:paraId="7758D63E" w14:textId="77777777" w:rsidR="00A07202" w:rsidRPr="00DF5A55" w:rsidRDefault="00A07202" w:rsidP="003B0668">
            <w:r w:rsidRPr="00DF5A55">
              <w:t xml:space="preserve">- </w:t>
            </w:r>
            <w:r w:rsidR="00BD2994" w:rsidRPr="00DF5A55">
              <w:t>Vyhl. č. 265 / 1999 Z.z.</w:t>
            </w:r>
          </w:p>
        </w:tc>
        <w:tc>
          <w:tcPr>
            <w:tcW w:w="0" w:type="auto"/>
          </w:tcPr>
          <w:p w14:paraId="26200FFF" w14:textId="77777777" w:rsidR="00A07202" w:rsidRPr="00DF5A55" w:rsidRDefault="00BD2994" w:rsidP="003B0668">
            <w:r w:rsidRPr="00DF5A55">
              <w:t>(MPSVaR SR) na zaistenie bezpečnosti a ochrany zdravia pri práci s technickými zariadeniami</w:t>
            </w:r>
          </w:p>
        </w:tc>
      </w:tr>
      <w:tr w:rsidR="00A07202" w:rsidRPr="00DF5A55" w14:paraId="0B2FDF58" w14:textId="77777777" w:rsidTr="00524743">
        <w:trPr>
          <w:trHeight w:val="264"/>
        </w:trPr>
        <w:tc>
          <w:tcPr>
            <w:tcW w:w="2623" w:type="dxa"/>
          </w:tcPr>
          <w:p w14:paraId="58E0D84E" w14:textId="77777777" w:rsidR="00A07202" w:rsidRPr="00DF5A55" w:rsidRDefault="00A07202" w:rsidP="003B0668">
            <w:r w:rsidRPr="00DF5A55">
              <w:t>- Vyhl. č.508 / 2009 Z.z..</w:t>
            </w:r>
          </w:p>
        </w:tc>
        <w:tc>
          <w:tcPr>
            <w:tcW w:w="0" w:type="auto"/>
          </w:tcPr>
          <w:p w14:paraId="44D71AE7" w14:textId="77777777" w:rsidR="00A07202" w:rsidRPr="00DF5A55" w:rsidRDefault="00A07202" w:rsidP="003B0668">
            <w:r w:rsidRPr="00DF5A55">
              <w:t>(MPSVaR SR) na zaistenie bezpečnosti a ochrany zdravia pri práci s TZ</w:t>
            </w:r>
          </w:p>
        </w:tc>
      </w:tr>
      <w:tr w:rsidR="000E0532" w:rsidRPr="00DF5A55" w14:paraId="1D0E6DB5" w14:textId="77777777" w:rsidTr="00524743">
        <w:trPr>
          <w:trHeight w:val="264"/>
        </w:trPr>
        <w:tc>
          <w:tcPr>
            <w:tcW w:w="2623" w:type="dxa"/>
          </w:tcPr>
          <w:p w14:paraId="1BB4A59F" w14:textId="0924F335" w:rsidR="000E0532" w:rsidRPr="00DF5A55" w:rsidRDefault="00D82934" w:rsidP="003B0668">
            <w:r>
              <w:t xml:space="preserve"> </w:t>
            </w:r>
            <w:r w:rsidR="00524743">
              <w:t xml:space="preserve"> </w:t>
            </w:r>
          </w:p>
        </w:tc>
        <w:tc>
          <w:tcPr>
            <w:tcW w:w="0" w:type="auto"/>
          </w:tcPr>
          <w:p w14:paraId="7C42784F" w14:textId="77777777" w:rsidR="000E0532" w:rsidRPr="00DF5A55" w:rsidRDefault="000E0532" w:rsidP="003B0668"/>
        </w:tc>
      </w:tr>
    </w:tbl>
    <w:p w14:paraId="4697FB20" w14:textId="5F55F848" w:rsidR="0072255A" w:rsidRDefault="0072255A" w:rsidP="003B0668">
      <w:r w:rsidRPr="00DF5A55">
        <w:t>Pri vypracovaní projektu boli použité technické podklady výrobcov, resp. dodávateľov jednotlivých zariadení.</w:t>
      </w:r>
    </w:p>
    <w:p w14:paraId="0022C1C5" w14:textId="50704D5A" w:rsidR="000E0532" w:rsidRDefault="000E0532" w:rsidP="003B0668"/>
    <w:p w14:paraId="1B1A41F8" w14:textId="5047D2BA" w:rsidR="000E0532" w:rsidRPr="00DF5A55" w:rsidRDefault="00D82934" w:rsidP="000E0532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r>
        <w:rPr>
          <w:b/>
          <w:iCs/>
          <w:color w:val="003366"/>
          <w:sz w:val="24"/>
        </w:rPr>
        <w:t>1</w:t>
      </w:r>
      <w:r w:rsidR="000E0532" w:rsidRPr="00DF5A55">
        <w:rPr>
          <w:b/>
          <w:iCs/>
          <w:color w:val="003366"/>
          <w:sz w:val="24"/>
        </w:rPr>
        <w:t xml:space="preserve">.1  </w:t>
      </w:r>
      <w:r>
        <w:rPr>
          <w:b/>
          <w:iCs/>
          <w:color w:val="003366"/>
          <w:sz w:val="24"/>
        </w:rPr>
        <w:t>Popis súčasného spôsobu zásobovania zemným plynom</w:t>
      </w:r>
    </w:p>
    <w:p w14:paraId="7F5444AB" w14:textId="56958D79" w:rsidR="000E0532" w:rsidRDefault="00150B59" w:rsidP="003B0668">
      <w:r>
        <w:t xml:space="preserve">Pre prevádzkový areál firmy Kompava spol.s.r.o.,Piešťanská </w:t>
      </w:r>
      <w:r w:rsidR="00DF10A4">
        <w:t>1202/44  915 01 Nové Mesto nad Váhom je vybudovaná existujúca  NTL</w:t>
      </w:r>
    </w:p>
    <w:p w14:paraId="297A90E0" w14:textId="053CF67B" w:rsidR="00CB4D94" w:rsidRDefault="000E282B" w:rsidP="003B0668">
      <w:r>
        <w:t>p</w:t>
      </w:r>
      <w:r w:rsidR="00DF10A4">
        <w:t xml:space="preserve">rípojka plynu </w:t>
      </w:r>
      <w:r w:rsidR="006A763D">
        <w:t>DN50,</w:t>
      </w:r>
      <w:r>
        <w:t xml:space="preserve"> </w:t>
      </w:r>
      <w:r w:rsidR="006A763D">
        <w:t>max. tlak cca 2kPa,</w:t>
      </w:r>
      <w:r>
        <w:t xml:space="preserve"> </w:t>
      </w:r>
      <w:r w:rsidR="006A763D">
        <w:t xml:space="preserve">dovedená do jestvujúcej skrinky </w:t>
      </w:r>
      <w:r w:rsidR="00061795">
        <w:t>merania v nike obvodovej steny</w:t>
      </w:r>
      <w:r>
        <w:t>. U</w:t>
      </w:r>
      <w:r w:rsidR="00061795">
        <w:t xml:space="preserve">končená </w:t>
      </w:r>
      <w:r>
        <w:t>je gúľ</w:t>
      </w:r>
      <w:r w:rsidR="00061795">
        <w:t>.</w:t>
      </w:r>
      <w:r>
        <w:t xml:space="preserve"> </w:t>
      </w:r>
      <w:r w:rsidR="00061795">
        <w:t>uzáverom DN32.</w:t>
      </w:r>
      <w:r>
        <w:t xml:space="preserve"> </w:t>
      </w:r>
      <w:r w:rsidR="00061795">
        <w:t>Za jestvujúcim plynomerom BK</w:t>
      </w:r>
      <w:r w:rsidR="0099687A">
        <w:t xml:space="preserve">-G4MT prestupuje plynové potrubie do </w:t>
      </w:r>
      <w:r w:rsidR="00BF39EB">
        <w:t xml:space="preserve">miestnosti na </w:t>
      </w:r>
      <w:r>
        <w:t>1</w:t>
      </w:r>
      <w:r w:rsidR="00BF39EB">
        <w:t>.NP 1</w:t>
      </w:r>
      <w:r>
        <w:t>.</w:t>
      </w:r>
      <w:r w:rsidR="00BF39EB">
        <w:t xml:space="preserve">08 </w:t>
      </w:r>
      <w:r w:rsidR="00E018A2">
        <w:rPr>
          <w:lang w:val="en-GB"/>
        </w:rPr>
        <w:t>–</w:t>
      </w:r>
      <w:r>
        <w:rPr>
          <w:lang w:val="en-GB"/>
        </w:rPr>
        <w:t xml:space="preserve"> </w:t>
      </w:r>
      <w:r w:rsidR="00E018A2">
        <w:t>V</w:t>
      </w:r>
      <w:r w:rsidR="00BF39EB">
        <w:t>áhovňa</w:t>
      </w:r>
      <w:r w:rsidR="00E018A2">
        <w:t>,</w:t>
      </w:r>
      <w:r w:rsidR="00387592">
        <w:t xml:space="preserve"> </w:t>
      </w:r>
      <w:r>
        <w:t xml:space="preserve"> kde </w:t>
      </w:r>
      <w:r w:rsidR="00387592">
        <w:t>stúpa pod strop pokračuje popri stene na konzolách pod miestnosť 2</w:t>
      </w:r>
      <w:r w:rsidR="00E018A2">
        <w:t>.</w:t>
      </w:r>
      <w:r w:rsidR="00387592">
        <w:t xml:space="preserve">27 </w:t>
      </w:r>
      <w:r w:rsidR="00E018A2">
        <w:t>- S</w:t>
      </w:r>
      <w:r w:rsidR="00387592">
        <w:t xml:space="preserve">klad obalov na </w:t>
      </w:r>
      <w:r w:rsidR="00E018A2">
        <w:t>2</w:t>
      </w:r>
      <w:r w:rsidR="00387592">
        <w:t>.NP</w:t>
      </w:r>
      <w:r w:rsidR="00CB4D94">
        <w:t>,</w:t>
      </w:r>
      <w:r w:rsidR="00E018A2">
        <w:t xml:space="preserve"> </w:t>
      </w:r>
      <w:r w:rsidR="00CB4D94">
        <w:t>stúpa pod strop v miestnosti 2</w:t>
      </w:r>
      <w:r w:rsidR="00E018A2">
        <w:t>.</w:t>
      </w:r>
      <w:r w:rsidR="00CB4D94">
        <w:t>27</w:t>
      </w:r>
      <w:r w:rsidR="00E018A2">
        <w:t xml:space="preserve"> a </w:t>
      </w:r>
      <w:r w:rsidR="00CB4D94">
        <w:t>prechádza do miestnosti 2</w:t>
      </w:r>
      <w:r w:rsidR="00E018A2">
        <w:t>.</w:t>
      </w:r>
      <w:r w:rsidR="00CB4D94">
        <w:t xml:space="preserve">17 </w:t>
      </w:r>
      <w:r w:rsidR="00E018A2">
        <w:t>– K</w:t>
      </w:r>
      <w:r w:rsidR="00CB4D94">
        <w:t>otolňa</w:t>
      </w:r>
      <w:r w:rsidR="00E018A2">
        <w:t>.</w:t>
      </w:r>
      <w:r>
        <w:t xml:space="preserve"> </w:t>
      </w:r>
      <w:r w:rsidR="00E018A2">
        <w:t>Plynové potrubie k</w:t>
      </w:r>
      <w:r w:rsidR="00CB4D94">
        <w:t xml:space="preserve">lesá na úroveň 1,5m nad podlahou </w:t>
      </w:r>
      <w:r w:rsidR="00E018A2">
        <w:t xml:space="preserve">kde je </w:t>
      </w:r>
      <w:r w:rsidR="00CB4D94">
        <w:t>ukončen</w:t>
      </w:r>
      <w:r w:rsidR="00E018A2">
        <w:t>é gúľ.</w:t>
      </w:r>
      <w:r w:rsidR="00CB4D94">
        <w:t xml:space="preserve"> uzáverom DN25 pre jestvujúci plynový kotol Buderus.</w:t>
      </w:r>
      <w:r w:rsidR="00B10D4A">
        <w:t xml:space="preserve"> </w:t>
      </w:r>
      <w:r w:rsidR="00B10D4A" w:rsidRPr="00B10D4A">
        <w:t xml:space="preserve">Existujúci atmosférický </w:t>
      </w:r>
      <w:r w:rsidR="00B10D4A">
        <w:t xml:space="preserve">plynový </w:t>
      </w:r>
      <w:r w:rsidR="00B10D4A" w:rsidRPr="00B10D4A">
        <w:t>kotol sa demontuje spolu so strojným ústrojenstvom kotolne.</w:t>
      </w:r>
    </w:p>
    <w:p w14:paraId="5C9E3BCE" w14:textId="77777777" w:rsidR="00CB4D94" w:rsidRDefault="00CB4D94" w:rsidP="003B0668"/>
    <w:p w14:paraId="3AB880AF" w14:textId="51188DD7" w:rsidR="00DA3026" w:rsidRPr="00DF5A55" w:rsidRDefault="00BF39EB" w:rsidP="00DA3026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r>
        <w:t xml:space="preserve"> </w:t>
      </w:r>
      <w:r w:rsidR="00DA3026">
        <w:rPr>
          <w:b/>
          <w:iCs/>
          <w:color w:val="003366"/>
          <w:sz w:val="24"/>
        </w:rPr>
        <w:t>1</w:t>
      </w:r>
      <w:r w:rsidR="00DA3026" w:rsidRPr="00DF5A55">
        <w:rPr>
          <w:b/>
          <w:iCs/>
          <w:color w:val="003366"/>
          <w:sz w:val="24"/>
        </w:rPr>
        <w:t xml:space="preserve">.1  </w:t>
      </w:r>
      <w:r w:rsidR="00DA3026">
        <w:rPr>
          <w:b/>
          <w:iCs/>
          <w:color w:val="003366"/>
          <w:sz w:val="24"/>
        </w:rPr>
        <w:t>Navrhované riešenie</w:t>
      </w:r>
    </w:p>
    <w:p w14:paraId="62CC828B" w14:textId="3CA0FCFE" w:rsidR="00061795" w:rsidRDefault="000229BC" w:rsidP="003B0668">
      <w:r>
        <w:t>Pre riešenú</w:t>
      </w:r>
      <w:r w:rsidR="005213CD">
        <w:t>/navrhovanú stavbu</w:t>
      </w:r>
      <w:r>
        <w:t xml:space="preserve"> bude vybudovaná nová kotolňa na </w:t>
      </w:r>
      <w:r w:rsidR="005213CD">
        <w:t>2</w:t>
      </w:r>
      <w:r>
        <w:t>.NP v miestnosti 2</w:t>
      </w:r>
      <w:r w:rsidR="005213CD">
        <w:t>.</w:t>
      </w:r>
      <w:r>
        <w:t xml:space="preserve">17 v ktorej bude inštalovaná kaskáda 2ks závesných </w:t>
      </w:r>
    </w:p>
    <w:p w14:paraId="666436E6" w14:textId="717EA9BF" w:rsidR="000229BC" w:rsidRPr="00DF5A55" w:rsidRDefault="00FE0E56" w:rsidP="003B0668">
      <w:r>
        <w:t xml:space="preserve">kondenzačných plynových </w:t>
      </w:r>
      <w:r w:rsidR="000229BC">
        <w:t xml:space="preserve"> kotlov</w:t>
      </w:r>
      <w:r>
        <w:t xml:space="preserve"> Buderus typ -Logano plus GB 192 -50iW</w:t>
      </w:r>
      <w:r w:rsidR="005213CD">
        <w:t>.</w:t>
      </w:r>
      <w:r>
        <w:t xml:space="preserve"> </w:t>
      </w:r>
      <w:r w:rsidR="005213CD" w:rsidRPr="005213CD">
        <w:t>Jeden kotol postačuje na pokrytie tepelných strát jestvujúcej stavby aj prístavby a prípravu ohriatej pitnej vody. Druhý kotol bude používaný ako horúca rezerva v prípade poruchy pracovného kotla.</w:t>
      </w:r>
      <w:r w:rsidR="005213CD">
        <w:t xml:space="preserve"> </w:t>
      </w:r>
      <w:r>
        <w:t>Navrhované kotle budú napojené na navrhované rozvody zemného plynu</w:t>
      </w:r>
      <w:r w:rsidR="005213CD">
        <w:t xml:space="preserve">. </w:t>
      </w:r>
    </w:p>
    <w:p w14:paraId="4F89D164" w14:textId="77777777" w:rsidR="0072255A" w:rsidRPr="00DF5A55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olor w:val="003366"/>
          <w:sz w:val="28"/>
          <w:szCs w:val="28"/>
        </w:rPr>
      </w:pPr>
      <w:bookmarkStart w:id="2" w:name="_Toc31892359"/>
      <w:bookmarkStart w:id="3" w:name="_Toc86606964"/>
      <w:r w:rsidRPr="00DF5A55">
        <w:rPr>
          <w:rFonts w:ascii="Arial Narrow" w:hAnsi="Arial Narrow"/>
          <w:bCs/>
          <w:iCs/>
          <w:color w:val="003366"/>
          <w:sz w:val="28"/>
          <w:szCs w:val="28"/>
        </w:rPr>
        <w:t xml:space="preserve">2. </w:t>
      </w:r>
      <w:r w:rsidR="00BD2994" w:rsidRPr="00DF5A55">
        <w:rPr>
          <w:rFonts w:ascii="Arial Narrow" w:hAnsi="Arial Narrow"/>
          <w:bCs/>
          <w:iCs/>
          <w:color w:val="003366"/>
          <w:sz w:val="28"/>
          <w:szCs w:val="28"/>
        </w:rPr>
        <w:t>ZÁKLADNÉ ÚDAJE</w:t>
      </w:r>
      <w:bookmarkEnd w:id="2"/>
      <w:bookmarkEnd w:id="3"/>
    </w:p>
    <w:p w14:paraId="7532D034" w14:textId="77777777" w:rsidR="00BD2994" w:rsidRPr="00DF5A55" w:rsidRDefault="00BD2994" w:rsidP="00BD2994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bookmarkStart w:id="4" w:name="_Toc31892360"/>
      <w:r w:rsidRPr="00DF5A55">
        <w:rPr>
          <w:b/>
          <w:iCs/>
          <w:color w:val="003366"/>
          <w:sz w:val="24"/>
        </w:rPr>
        <w:t>2.1  Legislatívne zaradenie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2"/>
        <w:gridCol w:w="7154"/>
      </w:tblGrid>
      <w:tr w:rsidR="00BD2994" w:rsidRPr="00DF5A55" w14:paraId="2DCCA252" w14:textId="77777777" w:rsidTr="00BD2994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43CA" w14:textId="77777777" w:rsidR="00BD2994" w:rsidRPr="00DF5A55" w:rsidRDefault="00BD2994" w:rsidP="003B0668">
            <w:r w:rsidRPr="00DF5A55">
              <w:t xml:space="preserve">zaradenie podľa </w:t>
            </w:r>
          </w:p>
          <w:p w14:paraId="3CB7819D" w14:textId="77777777" w:rsidR="00BD2994" w:rsidRPr="00DF5A55" w:rsidRDefault="00BD2994" w:rsidP="003B0668">
            <w:r w:rsidRPr="00DF5A55">
              <w:t>Vyhl.</w:t>
            </w:r>
            <w:r w:rsidRPr="00DF5A55">
              <w:rPr>
                <w:color w:val="FF0000"/>
              </w:rPr>
              <w:t xml:space="preserve"> </w:t>
            </w:r>
            <w:r w:rsidRPr="00DF5A55">
              <w:t>č. 508 / 2009 Z.z..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26B8" w14:textId="77777777" w:rsidR="00BD2994" w:rsidRPr="00DF5A55" w:rsidRDefault="00BD2994" w:rsidP="003B0668">
            <w:r w:rsidRPr="00DF5A55">
              <w:t xml:space="preserve">Vyhradené plynové zariadenia skupiny : </w:t>
            </w:r>
          </w:p>
          <w:p w14:paraId="3F7E5402" w14:textId="77777777" w:rsidR="00BD2994" w:rsidRPr="00DF5A55" w:rsidRDefault="00BD2994" w:rsidP="003B0668">
            <w:r w:rsidRPr="00DF5A55">
              <w:t>B.g – rozvody plynu  s pretlakom do 0,4 MPa, výkon do 25 Nm</w:t>
            </w:r>
            <w:r w:rsidRPr="00DF5A55">
              <w:rPr>
                <w:vertAlign w:val="superscript"/>
              </w:rPr>
              <w:t>3</w:t>
            </w:r>
            <w:r w:rsidRPr="00DF5A55">
              <w:t xml:space="preserve"> / h </w:t>
            </w:r>
          </w:p>
          <w:p w14:paraId="6C69B188" w14:textId="77777777" w:rsidR="00BD2994" w:rsidRPr="00DF5A55" w:rsidRDefault="00BD2994" w:rsidP="003B0668">
            <w:r w:rsidRPr="00DF5A55">
              <w:t xml:space="preserve">B.h - spotreba plynu spaľovaním v zariadeniach výkonu od 5 kW do 0,5MW  </w:t>
            </w:r>
          </w:p>
        </w:tc>
      </w:tr>
      <w:tr w:rsidR="00BD2994" w:rsidRPr="00DF5A55" w14:paraId="033A2625" w14:textId="77777777" w:rsidTr="00BD2994"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BFDA1" w14:textId="77777777" w:rsidR="00BD2994" w:rsidRPr="00DF5A55" w:rsidRDefault="00BD2994" w:rsidP="003B0668">
            <w:pPr>
              <w:rPr>
                <w:rFonts w:cs="Arial"/>
              </w:rPr>
            </w:pPr>
            <w:r w:rsidRPr="00DF5A55">
              <w:rPr>
                <w:rFonts w:cs="Arial"/>
              </w:rPr>
              <w:t xml:space="preserve">Zákon č. 137/2010 Z.z., </w:t>
            </w:r>
          </w:p>
          <w:p w14:paraId="15BDDB2A" w14:textId="77777777" w:rsidR="00BD2994" w:rsidRPr="00DF5A55" w:rsidRDefault="00BD2994" w:rsidP="003B0668">
            <w:r w:rsidRPr="00DF5A55">
              <w:rPr>
                <w:rFonts w:cs="Arial"/>
              </w:rPr>
              <w:t>Vyhl. č. 356/2010 Z.z., Príloha č.2</w:t>
            </w:r>
          </w:p>
        </w:tc>
        <w:tc>
          <w:tcPr>
            <w:tcW w:w="7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8D49" w14:textId="77777777" w:rsidR="00BD2994" w:rsidRPr="00DF5A55" w:rsidRDefault="00BD2994" w:rsidP="003B0668">
            <w:pPr>
              <w:rPr>
                <w:rFonts w:cs="ITCBookmanEE"/>
                <w:lang w:eastAsia="sk-SK"/>
              </w:rPr>
            </w:pPr>
            <w:r w:rsidRPr="00DF5A55">
              <w:rPr>
                <w:rFonts w:cs="ITCBookmanEE"/>
                <w:lang w:eastAsia="sk-SK"/>
              </w:rPr>
              <w:t>Technologické celky obsahujúce stacionárne zariadenia na spaľovanie palív</w:t>
            </w:r>
          </w:p>
          <w:p w14:paraId="6471F7BE" w14:textId="7B132F42" w:rsidR="00BD2994" w:rsidRPr="00DF5A55" w:rsidRDefault="00BD2994" w:rsidP="003B0668">
            <w:r w:rsidRPr="00DF5A55">
              <w:rPr>
                <w:rFonts w:cs="ITCBookmanEE"/>
                <w:lang w:eastAsia="sk-SK"/>
              </w:rPr>
              <w:t xml:space="preserve">s nainštalovaným súhrnným menovitým tepelným príkonom </w:t>
            </w:r>
            <w:r w:rsidRPr="00DF5A55">
              <w:t>v rozmedzí do 0,3 MW – malý zdroj znečistenia (tepelný príkon</w:t>
            </w:r>
            <w:r w:rsidR="00F233E9">
              <w:t xml:space="preserve"> </w:t>
            </w:r>
            <w:r w:rsidR="00126222">
              <w:t>49kW x 2 =</w:t>
            </w:r>
            <w:r w:rsidRPr="00DF5A55">
              <w:t xml:space="preserve"> </w:t>
            </w:r>
            <w:r w:rsidR="002D3B23">
              <w:t>98</w:t>
            </w:r>
            <w:r w:rsidRPr="00DF5A55">
              <w:t xml:space="preserve"> kW)</w:t>
            </w:r>
          </w:p>
        </w:tc>
      </w:tr>
    </w:tbl>
    <w:p w14:paraId="68D5FF0E" w14:textId="77777777" w:rsidR="00BD2994" w:rsidRPr="00DF5A55" w:rsidRDefault="00BD2994" w:rsidP="00BD2994">
      <w:pPr>
        <w:pStyle w:val="Zkladntext3"/>
        <w:rPr>
          <w:sz w:val="6"/>
          <w:szCs w:val="6"/>
        </w:rPr>
      </w:pPr>
    </w:p>
    <w:p w14:paraId="74A69CF8" w14:textId="77777777" w:rsidR="00BD2994" w:rsidRPr="00DF5A55" w:rsidRDefault="00BD2994" w:rsidP="00BD2994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 xml:space="preserve">2.2  Technické údaje 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52"/>
        <w:gridCol w:w="7154"/>
      </w:tblGrid>
      <w:tr w:rsidR="00BD2994" w:rsidRPr="00DF5A55" w14:paraId="655FA097" w14:textId="77777777" w:rsidTr="00BD2994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C19E" w14:textId="77777777" w:rsidR="00BD2994" w:rsidRPr="00DF5A55" w:rsidRDefault="00BD2994" w:rsidP="003B0668">
            <w:r w:rsidRPr="00DF5A55">
              <w:t>Začiatok riešených rozvodov plynu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970C" w14:textId="68DF87A2" w:rsidR="00BD2994" w:rsidRPr="00DF5A55" w:rsidRDefault="00BD2994" w:rsidP="003B0668">
            <w:pPr>
              <w:rPr>
                <w:color w:val="FF0000"/>
              </w:rPr>
            </w:pPr>
            <w:r w:rsidRPr="00DF5A55">
              <w:t xml:space="preserve">napojenie na HU PP </w:t>
            </w:r>
            <w:r w:rsidR="00EB7E75">
              <w:t>viď. výkresová</w:t>
            </w:r>
            <w:r w:rsidR="00126222">
              <w:t xml:space="preserve"> časť</w:t>
            </w:r>
          </w:p>
        </w:tc>
      </w:tr>
      <w:tr w:rsidR="00BD2994" w:rsidRPr="00DF5A55" w14:paraId="34EADE8E" w14:textId="77777777" w:rsidTr="00BD2994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BD04" w14:textId="77777777" w:rsidR="00BD2994" w:rsidRPr="00DF5A55" w:rsidRDefault="00BD2994" w:rsidP="003B0668">
            <w:r w:rsidRPr="00DF5A55">
              <w:t>Koniec riešených rozvodov plynu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F51B" w14:textId="288806E9" w:rsidR="00BD2994" w:rsidRPr="00DF5A55" w:rsidRDefault="00BD2994" w:rsidP="003B0668">
            <w:r w:rsidRPr="00DF5A55">
              <w:t>pripojenie navrhovan</w:t>
            </w:r>
            <w:r w:rsidR="00126222">
              <w:t xml:space="preserve">ých </w:t>
            </w:r>
            <w:r w:rsidRPr="00DF5A55">
              <w:t xml:space="preserve"> plynov</w:t>
            </w:r>
            <w:r w:rsidR="00126222">
              <w:t xml:space="preserve">ých </w:t>
            </w:r>
            <w:r w:rsidRPr="00DF5A55">
              <w:t xml:space="preserve"> spotrebič</w:t>
            </w:r>
            <w:r w:rsidR="00126222">
              <w:t>ov</w:t>
            </w:r>
            <w:r w:rsidRPr="00DF5A55">
              <w:t xml:space="preserve"> </w:t>
            </w:r>
          </w:p>
        </w:tc>
      </w:tr>
      <w:tr w:rsidR="00BD2994" w:rsidRPr="00DF5A55" w14:paraId="619596F1" w14:textId="77777777" w:rsidTr="00BD2994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CDF2" w14:textId="77777777" w:rsidR="00BD2994" w:rsidRPr="00DF5A55" w:rsidRDefault="00BD2994" w:rsidP="003B0668">
            <w:r w:rsidRPr="00DF5A55">
              <w:t>Materiál potrubí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18705" w14:textId="47EF7E7F" w:rsidR="00BD2994" w:rsidRPr="00DF5A55" w:rsidRDefault="00BD2994" w:rsidP="003B0668">
            <w:r w:rsidRPr="00DF5A55">
              <w:t>oceľ - trieda 11 353.1, svetlosť potrubí</w:t>
            </w:r>
            <w:r w:rsidR="00126222">
              <w:t xml:space="preserve"> DN 80 -2m,</w:t>
            </w:r>
            <w:r w:rsidRPr="00DF5A55">
              <w:t xml:space="preserve"> DN </w:t>
            </w:r>
            <w:r w:rsidR="00126222">
              <w:t>32</w:t>
            </w:r>
            <w:r w:rsidRPr="00DF5A55">
              <w:t xml:space="preserve"> – dl. 12m, DN </w:t>
            </w:r>
            <w:r w:rsidR="00126222">
              <w:t>25</w:t>
            </w:r>
            <w:r w:rsidRPr="00DF5A55">
              <w:t xml:space="preserve"> – dl</w:t>
            </w:r>
            <w:r w:rsidR="00126222">
              <w:t xml:space="preserve"> 2</w:t>
            </w:r>
            <w:r w:rsidRPr="00DF5A55">
              <w:t>,2m</w:t>
            </w:r>
          </w:p>
        </w:tc>
      </w:tr>
      <w:tr w:rsidR="00BD2994" w:rsidRPr="00DF5A55" w14:paraId="6CC55F53" w14:textId="77777777" w:rsidTr="00BD2994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8A5F" w14:textId="77777777" w:rsidR="00BD2994" w:rsidRPr="00DF5A55" w:rsidRDefault="00BD2994" w:rsidP="003B0668">
            <w:r w:rsidRPr="00DF5A55">
              <w:t>Prevádzkový tlak plynu</w:t>
            </w:r>
          </w:p>
        </w:tc>
        <w:tc>
          <w:tcPr>
            <w:tcW w:w="7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2ACA" w14:textId="00A6F7B1" w:rsidR="00BD2994" w:rsidRPr="00DF5A55" w:rsidRDefault="00126222" w:rsidP="003B0668">
            <w:r>
              <w:t xml:space="preserve"> </w:t>
            </w:r>
          </w:p>
          <w:p w14:paraId="61A75DC6" w14:textId="2078F0A8" w:rsidR="00BD2994" w:rsidRPr="00DF5A55" w:rsidRDefault="00BD2994" w:rsidP="003B0668">
            <w:r w:rsidRPr="00DF5A55">
              <w:t>2 kPa – NTL rozvody plynu od uzáveru POZ po spotrebič</w:t>
            </w:r>
            <w:r w:rsidR="00126222">
              <w:t>e</w:t>
            </w:r>
          </w:p>
        </w:tc>
      </w:tr>
    </w:tbl>
    <w:p w14:paraId="6AE6F0A8" w14:textId="77777777" w:rsidR="00BD2994" w:rsidRPr="00DF5A55" w:rsidRDefault="00BD2994" w:rsidP="00BD2994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 xml:space="preserve">2.3  Požiadavky na montáž rozvodov plynu </w:t>
      </w:r>
    </w:p>
    <w:p w14:paraId="38AB4076" w14:textId="77777777" w:rsidR="00BD2994" w:rsidRPr="00DF5A55" w:rsidRDefault="00BD2994" w:rsidP="003B0668">
      <w:r w:rsidRPr="00DF5A55">
        <w:t xml:space="preserve">Montáž rozvodov plynu môže vykonávať iba dodávateľ, ktorý má na uvedené práce oprávnenie podľa Vyhl.  č.508 / 2009 Z.z. – vyhradené technické zariadenia plynové. Montáž rozvodov plynu robiť podľa STN EN 1775, čl.5. </w:t>
      </w:r>
    </w:p>
    <w:p w14:paraId="1CD4CA35" w14:textId="77777777" w:rsidR="00BD2994" w:rsidRPr="00DF5A55" w:rsidRDefault="00BD2994" w:rsidP="003B0668">
      <w:pPr>
        <w:rPr>
          <w:rFonts w:cs="Arial"/>
        </w:rPr>
      </w:pPr>
      <w:r w:rsidRPr="00DF5A55">
        <w:lastRenderedPageBreak/>
        <w:t>Oceľové potrubia budú spájané zvarovaním. Zváračské práce na plynovom zariadení môžu vykonávať iba zvárači s úradnou skúškou podľa STN EN 287-1.</w:t>
      </w:r>
      <w:r w:rsidRPr="00DF5A55">
        <w:rPr>
          <w:rFonts w:cs="Arial"/>
        </w:rPr>
        <w:t xml:space="preserve"> Pri zváračských prácach postupovať podľa požiadaviek STN 05 6718, dodržiavať bezpečnostné predpisy a požiadavky STN 05 0610, 05 0630. Kontrolu zvarov robiť vizuálne (zvárač, technológ zvárania), potom za pomoci penotvorného prostriedku. </w:t>
      </w:r>
    </w:p>
    <w:p w14:paraId="2A5E16D7" w14:textId="77777777" w:rsidR="00BD2994" w:rsidRPr="00DF5A55" w:rsidRDefault="00BD2994" w:rsidP="003B0668">
      <w:pPr>
        <w:rPr>
          <w:rFonts w:cs="Arial"/>
        </w:rPr>
      </w:pPr>
      <w:r w:rsidRPr="00DF5A55">
        <w:t xml:space="preserve">Všetky použité materiály a komponenty musia mať potrebné atesty a musia vyhovovať platným normám a predpisom. Dodávateľ je povinný dokladovať osvedčením o akosti a kompletnosti výrobkov, resp. vyhlásením o zhode </w:t>
      </w:r>
      <w:r w:rsidRPr="00DF5A55">
        <w:rPr>
          <w:rFonts w:cs="Arial"/>
        </w:rPr>
        <w:t xml:space="preserve">armatúry, tvarovky, prídavný materiál pre zváranie. </w:t>
      </w:r>
    </w:p>
    <w:p w14:paraId="769F09CC" w14:textId="77777777" w:rsidR="00BD2994" w:rsidRPr="00DF5A55" w:rsidRDefault="00BD2994" w:rsidP="00BD2994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 xml:space="preserve">2.4  Umiestnenie a vetranie zdroja tepla </w:t>
      </w:r>
    </w:p>
    <w:p w14:paraId="347DD0D9" w14:textId="0136C178" w:rsidR="00BD2994" w:rsidRPr="00DF5A55" w:rsidRDefault="00EB7E75" w:rsidP="00BD2994">
      <w:r>
        <w:t xml:space="preserve">Navrhované plynové </w:t>
      </w:r>
      <w:r w:rsidR="00FA0753">
        <w:t>kondenzačné</w:t>
      </w:r>
      <w:r>
        <w:t xml:space="preserve"> kotle -z</w:t>
      </w:r>
      <w:r w:rsidR="00BD2994" w:rsidRPr="00DF5A55">
        <w:t>droj tepla (nástenn</w:t>
      </w:r>
      <w:r>
        <w:t>é</w:t>
      </w:r>
      <w:r w:rsidR="00BD2994" w:rsidRPr="00DF5A55">
        <w:t xml:space="preserve"> kot</w:t>
      </w:r>
      <w:r>
        <w:t xml:space="preserve">le </w:t>
      </w:r>
      <w:r w:rsidR="00BD2994" w:rsidRPr="00DF5A55">
        <w:t xml:space="preserve"> na spaľovanie zemného plynu) bud</w:t>
      </w:r>
      <w:r>
        <w:t>ú</w:t>
      </w:r>
      <w:r w:rsidR="00BD2994" w:rsidRPr="00DF5A55">
        <w:t xml:space="preserve"> umiestnený v</w:t>
      </w:r>
      <w:r w:rsidR="003B0668" w:rsidRPr="00DF5A55">
        <w:t> miestnosti č</w:t>
      </w:r>
      <w:r>
        <w:t xml:space="preserve"> 2</w:t>
      </w:r>
      <w:r w:rsidR="004900EC">
        <w:t>.</w:t>
      </w:r>
      <w:r>
        <w:t>17</w:t>
      </w:r>
      <w:r w:rsidR="00BD2994" w:rsidRPr="00DF5A55">
        <w:t>, v </w:t>
      </w:r>
      <w:r w:rsidR="004900EC">
        <w:t>2</w:t>
      </w:r>
      <w:r w:rsidR="00BD2994" w:rsidRPr="00DF5A55">
        <w:t xml:space="preserve">.NP objektu. Priestor bude stavebne upravený tak, aby spĺňal požiadavky kladené na inštalovanú technológiu. Prístup bude z vnútorného komunikačného </w:t>
      </w:r>
      <w:r w:rsidR="00FA0753" w:rsidRPr="00DF5A55">
        <w:t>priestoru. Inštalova</w:t>
      </w:r>
      <w:r w:rsidR="00FA0753">
        <w:t>né</w:t>
      </w:r>
      <w:r w:rsidR="00BD2994" w:rsidRPr="00DF5A55">
        <w:t xml:space="preserve"> bud</w:t>
      </w:r>
      <w:r w:rsidR="00FA0753">
        <w:t>ú</w:t>
      </w:r>
      <w:r w:rsidR="00BD2994" w:rsidRPr="00DF5A55">
        <w:t xml:space="preserve"> plynov</w:t>
      </w:r>
      <w:r w:rsidR="00C87AB7">
        <w:t>é</w:t>
      </w:r>
      <w:r w:rsidR="00BD2994" w:rsidRPr="00DF5A55">
        <w:t xml:space="preserve"> spotrebič</w:t>
      </w:r>
      <w:r w:rsidR="00C87AB7">
        <w:t>e</w:t>
      </w:r>
      <w:r w:rsidR="00BD2994" w:rsidRPr="00DF5A55">
        <w:t xml:space="preserve"> s uzatvorenou spaľovacou komorou, priestor v ktorom bud</w:t>
      </w:r>
      <w:r w:rsidR="00C87AB7">
        <w:t>ú</w:t>
      </w:r>
      <w:r w:rsidR="00BD2994" w:rsidRPr="00DF5A55">
        <w:t xml:space="preserve"> umiestnen</w:t>
      </w:r>
      <w:r w:rsidR="00C87AB7">
        <w:t>é</w:t>
      </w:r>
      <w:r w:rsidR="00BD2994" w:rsidRPr="00DF5A55">
        <w:t xml:space="preserve"> vyhovuje požiadavkám TPP 704 01, čl. 12.4 (spotrebič v zhotovení C), požiadavky na vetranie nie je potrebné riešiť. </w:t>
      </w:r>
    </w:p>
    <w:p w14:paraId="59C1EAB3" w14:textId="77777777" w:rsidR="0072255A" w:rsidRPr="00DF5A55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5" w:name="_Toc86606965"/>
      <w:r w:rsidRPr="00DF5A55">
        <w:rPr>
          <w:rFonts w:ascii="Arial Narrow" w:hAnsi="Arial Narrow"/>
          <w:bCs/>
          <w:iCs/>
          <w:color w:val="003366"/>
          <w:sz w:val="28"/>
          <w:szCs w:val="28"/>
        </w:rPr>
        <w:t xml:space="preserve">3.  </w:t>
      </w:r>
      <w:r w:rsidR="00BD2994" w:rsidRPr="00DF5A55">
        <w:rPr>
          <w:rFonts w:ascii="Arial Narrow" w:hAnsi="Arial Narrow"/>
          <w:bCs/>
          <w:iCs/>
          <w:caps/>
          <w:color w:val="003366"/>
          <w:sz w:val="28"/>
          <w:szCs w:val="28"/>
        </w:rPr>
        <w:t>SPOTREBA ZEMNÉHO PLYNU</w:t>
      </w:r>
      <w:bookmarkEnd w:id="4"/>
      <w:bookmarkEnd w:id="5"/>
    </w:p>
    <w:p w14:paraId="7F55B502" w14:textId="77777777" w:rsidR="00BD2994" w:rsidRPr="00DF5A55" w:rsidRDefault="00BD2994" w:rsidP="00BD2994">
      <w:pPr>
        <w:rPr>
          <w:szCs w:val="20"/>
        </w:rPr>
      </w:pPr>
      <w:bookmarkStart w:id="6" w:name="_Toc31892361"/>
      <w:r w:rsidRPr="00DF5A55">
        <w:rPr>
          <w:szCs w:val="20"/>
        </w:rPr>
        <w:t>Uvažovaná výhrevnosť zemného plynu</w:t>
      </w:r>
      <w:r w:rsidRPr="00DF5A55">
        <w:rPr>
          <w:szCs w:val="20"/>
        </w:rPr>
        <w:tab/>
        <w:t>...........................................................................................</w:t>
      </w:r>
      <w:r w:rsidRPr="00DF5A55">
        <w:rPr>
          <w:szCs w:val="20"/>
        </w:rPr>
        <w:tab/>
        <w:t>H</w:t>
      </w:r>
      <w:r w:rsidRPr="00DF5A55">
        <w:rPr>
          <w:szCs w:val="20"/>
          <w:vertAlign w:val="subscript"/>
        </w:rPr>
        <w:t>zp</w:t>
      </w:r>
      <w:r w:rsidRPr="00DF5A55">
        <w:rPr>
          <w:szCs w:val="20"/>
        </w:rPr>
        <w:t xml:space="preserve"> = 34,5 MJ/m</w:t>
      </w:r>
      <w:r w:rsidRPr="00DF5A55">
        <w:rPr>
          <w:szCs w:val="20"/>
          <w:vertAlign w:val="superscript"/>
        </w:rPr>
        <w:t>3</w:t>
      </w:r>
    </w:p>
    <w:p w14:paraId="160E01B8" w14:textId="77777777" w:rsidR="00BD2994" w:rsidRPr="00DF5A55" w:rsidRDefault="00BD2994" w:rsidP="00BD2994">
      <w:pPr>
        <w:rPr>
          <w:szCs w:val="20"/>
        </w:rPr>
      </w:pPr>
      <w:r w:rsidRPr="00DF5A55">
        <w:rPr>
          <w:szCs w:val="20"/>
        </w:rPr>
        <w:t>Prevádzková účinnosť spaľovania spotrebičov ..................................................................................</w:t>
      </w:r>
      <w:r w:rsidRPr="00DF5A55">
        <w:rPr>
          <w:szCs w:val="20"/>
        </w:rPr>
        <w:tab/>
        <w:t>E</w:t>
      </w:r>
      <w:r w:rsidRPr="00DF5A55">
        <w:rPr>
          <w:szCs w:val="20"/>
          <w:vertAlign w:val="subscript"/>
        </w:rPr>
        <w:t>k</w:t>
      </w:r>
      <w:r w:rsidRPr="00DF5A55">
        <w:rPr>
          <w:szCs w:val="20"/>
        </w:rPr>
        <w:t xml:space="preserve">  = 1,05 (105 %)</w:t>
      </w:r>
    </w:p>
    <w:p w14:paraId="3264AA37" w14:textId="77777777" w:rsidR="00BD2994" w:rsidRPr="00DF5A55" w:rsidRDefault="00BD2994" w:rsidP="00BD2994">
      <w:pPr>
        <w:rPr>
          <w:szCs w:val="20"/>
        </w:rPr>
      </w:pPr>
      <w:r w:rsidRPr="00DF5A55">
        <w:rPr>
          <w:szCs w:val="20"/>
        </w:rPr>
        <w:t>Účinnosť celoročnej prevádzky spotrebiča (stupeň využitia) ..............................................................</w:t>
      </w:r>
      <w:r w:rsidRPr="00DF5A55">
        <w:rPr>
          <w:szCs w:val="20"/>
        </w:rPr>
        <w:tab/>
        <w:t>E</w:t>
      </w:r>
      <w:r w:rsidRPr="00DF5A55">
        <w:rPr>
          <w:szCs w:val="20"/>
          <w:vertAlign w:val="subscript"/>
        </w:rPr>
        <w:t>rk</w:t>
      </w:r>
      <w:r w:rsidRPr="00DF5A55">
        <w:rPr>
          <w:szCs w:val="20"/>
        </w:rPr>
        <w:t xml:space="preserve"> = 0,98 (98 %) </w:t>
      </w:r>
    </w:p>
    <w:p w14:paraId="5AE2C690" w14:textId="77777777" w:rsidR="00BD2994" w:rsidRPr="00DF5A55" w:rsidRDefault="00BD2994" w:rsidP="00BD2994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 xml:space="preserve">3.1  Hodinová spotreba  </w:t>
      </w:r>
    </w:p>
    <w:p w14:paraId="48E86033" w14:textId="77777777" w:rsidR="00BD2994" w:rsidRPr="00DF5A55" w:rsidRDefault="00BD2994" w:rsidP="00BD2994">
      <w:pPr>
        <w:rPr>
          <w:sz w:val="6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BD2994" w:rsidRPr="00DF5A55" w14:paraId="44F36B50" w14:textId="77777777" w:rsidTr="00C92EC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4EDC" w14:textId="77777777" w:rsidR="00BD2994" w:rsidRPr="00DF5A55" w:rsidRDefault="00BD2994" w:rsidP="00BD2994">
            <w:bookmarkStart w:id="7" w:name="OLE_LINK19"/>
            <w:r w:rsidRPr="00DF5A55">
              <w:t xml:space="preserve">Max. hodinová spotreba podľa inštalovaných spotrebičov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0897" w14:textId="3D154AD2" w:rsidR="00BD2994" w:rsidRPr="00DF5A55" w:rsidRDefault="00BD2994" w:rsidP="00BD2994">
            <w:r w:rsidRPr="00DF5A55">
              <w:t xml:space="preserve"> B</w:t>
            </w:r>
            <w:r w:rsidRPr="00DF5A55">
              <w:rPr>
                <w:vertAlign w:val="subscript"/>
              </w:rPr>
              <w:t>H,max</w:t>
            </w:r>
            <w:r w:rsidRPr="00DF5A55">
              <w:t xml:space="preserve"> =  </w:t>
            </w:r>
            <w:r w:rsidR="00C87AB7">
              <w:t>5</w:t>
            </w:r>
            <w:r w:rsidRPr="00DF5A55">
              <w:t>,</w:t>
            </w:r>
            <w:r w:rsidR="00C87AB7">
              <w:t>18</w:t>
            </w:r>
            <w:r w:rsidRPr="00DF5A55">
              <w:t xml:space="preserve"> m</w:t>
            </w:r>
            <w:r w:rsidRPr="00DF5A55">
              <w:rPr>
                <w:vertAlign w:val="superscript"/>
              </w:rPr>
              <w:t>3</w:t>
            </w:r>
            <w:r w:rsidRPr="00DF5A55">
              <w:t>/hod</w:t>
            </w:r>
          </w:p>
        </w:tc>
      </w:tr>
    </w:tbl>
    <w:p w14:paraId="4968A977" w14:textId="77777777" w:rsidR="00BD2994" w:rsidRPr="00DF5A55" w:rsidRDefault="00BD2994" w:rsidP="00BD2994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 xml:space="preserve">3.2  Ročná spotreba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BD2994" w:rsidRPr="00DF5A55" w14:paraId="313E3F74" w14:textId="77777777" w:rsidTr="00C92ECC">
        <w:tc>
          <w:tcPr>
            <w:tcW w:w="5954" w:type="dxa"/>
          </w:tcPr>
          <w:p w14:paraId="4F3A060F" w14:textId="77777777" w:rsidR="00BD2994" w:rsidRPr="00DF5A55" w:rsidRDefault="00BD2994" w:rsidP="00BD2994">
            <w:r w:rsidRPr="00DF5A55">
              <w:t>pre navrhovaný plynový kotol</w:t>
            </w:r>
          </w:p>
        </w:tc>
        <w:tc>
          <w:tcPr>
            <w:tcW w:w="3685" w:type="dxa"/>
          </w:tcPr>
          <w:p w14:paraId="00074066" w14:textId="34221B7E" w:rsidR="00BD2994" w:rsidRPr="00DF5A55" w:rsidRDefault="00BD2994" w:rsidP="00BD2994">
            <w:r w:rsidRPr="00DF5A55">
              <w:t xml:space="preserve"> B</w:t>
            </w:r>
            <w:r w:rsidRPr="00DF5A55">
              <w:rPr>
                <w:vertAlign w:val="subscript"/>
              </w:rPr>
              <w:t>R</w:t>
            </w:r>
            <w:r w:rsidRPr="00DF5A55">
              <w:t xml:space="preserve"> =    </w:t>
            </w:r>
            <w:r w:rsidR="00F233E9">
              <w:t>5</w:t>
            </w:r>
            <w:r w:rsidRPr="00DF5A55">
              <w:t xml:space="preserve"> 500 m</w:t>
            </w:r>
            <w:r w:rsidRPr="00DF5A55">
              <w:rPr>
                <w:vertAlign w:val="superscript"/>
              </w:rPr>
              <w:t xml:space="preserve">3 </w:t>
            </w:r>
            <w:r w:rsidRPr="00DF5A55">
              <w:t>/ rok</w:t>
            </w:r>
          </w:p>
        </w:tc>
      </w:tr>
    </w:tbl>
    <w:p w14:paraId="3C151A09" w14:textId="77777777" w:rsidR="0072255A" w:rsidRPr="00DF5A55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8" w:name="_Toc86606966"/>
      <w:bookmarkEnd w:id="7"/>
      <w:r w:rsidRPr="00DF5A55">
        <w:rPr>
          <w:rFonts w:ascii="Arial Narrow" w:hAnsi="Arial Narrow"/>
          <w:bCs/>
          <w:iCs/>
          <w:caps/>
          <w:color w:val="003366"/>
          <w:sz w:val="28"/>
          <w:szCs w:val="28"/>
        </w:rPr>
        <w:t>4.  Popis technického riešenia</w:t>
      </w:r>
      <w:bookmarkEnd w:id="6"/>
      <w:bookmarkEnd w:id="8"/>
    </w:p>
    <w:p w14:paraId="1094AB08" w14:textId="77777777" w:rsidR="00DF5A55" w:rsidRPr="00DF5A55" w:rsidRDefault="00DF5A55" w:rsidP="00DF5A55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bookmarkStart w:id="9" w:name="_Toc31892362"/>
      <w:r w:rsidRPr="00DF5A55">
        <w:rPr>
          <w:b/>
          <w:iCs/>
          <w:color w:val="003366"/>
          <w:sz w:val="24"/>
        </w:rPr>
        <w:t>4.1  Ochrana potrubia voči účinkom elektrickej energie</w:t>
      </w:r>
    </w:p>
    <w:p w14:paraId="32720AA1" w14:textId="1874FE68" w:rsidR="00DF5A55" w:rsidRPr="00DF5A55" w:rsidRDefault="00DF5A55" w:rsidP="00DF5A55">
      <w:r w:rsidRPr="00DF5A55">
        <w:t>Ochranu plynov</w:t>
      </w:r>
      <w:r w:rsidR="004900EC">
        <w:t>ých</w:t>
      </w:r>
      <w:r w:rsidRPr="00DF5A55">
        <w:t xml:space="preserve"> potrubí voči účinkom elektrickej energie (ochrana pred dotykom podľa STN EN 33 2000-4-41) je potrebné urobiť pospájaním neživých častí a cudzích vodivých častí (vzájomné pospájanie úsekov rozvodov plynu medzi jednotl</w:t>
      </w:r>
      <w:r w:rsidR="002B36B0">
        <w:t>ivými</w:t>
      </w:r>
      <w:r w:rsidRPr="00DF5A55">
        <w:t xml:space="preserve"> spojmi, napr. vejárovými podložkami pod hlavičkami skrutiek) a napojením na uzemňovaciu sústavu objektu.</w:t>
      </w:r>
    </w:p>
    <w:p w14:paraId="5C0E8938" w14:textId="77777777" w:rsidR="00DF5A55" w:rsidRPr="00DF5A55" w:rsidRDefault="00DF5A55" w:rsidP="00DF5A55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4.2  Meracia a regulačná zostava plynu (MaRZ)</w:t>
      </w:r>
    </w:p>
    <w:p w14:paraId="0CD0058A" w14:textId="7E607157" w:rsidR="00DF5A55" w:rsidRPr="00DF5A55" w:rsidRDefault="00DF5A55" w:rsidP="00DF5A55">
      <w:pPr>
        <w:rPr>
          <w:rFonts w:cs="Arial"/>
        </w:rPr>
      </w:pPr>
      <w:bookmarkStart w:id="10" w:name="OLE_LINK20"/>
      <w:r w:rsidRPr="00DF5A55">
        <w:t xml:space="preserve">V navrhovanej skrinke MZ bude umiestnený </w:t>
      </w:r>
      <w:r w:rsidRPr="00DF5A55">
        <w:rPr>
          <w:rFonts w:cs="Arial"/>
        </w:rPr>
        <w:t xml:space="preserve"> fakturačný merač množstva zemného plynu – membránový plynomer BK G</w:t>
      </w:r>
      <w:r w:rsidR="00C87AB7">
        <w:rPr>
          <w:rFonts w:cs="Arial"/>
        </w:rPr>
        <w:t>6</w:t>
      </w:r>
      <w:r w:rsidRPr="00DF5A55">
        <w:rPr>
          <w:rFonts w:cs="Arial"/>
        </w:rPr>
        <w:t xml:space="preserve"> MT, DN 25, merací rozsah 0,0</w:t>
      </w:r>
      <w:r w:rsidR="00C87AB7">
        <w:rPr>
          <w:rFonts w:cs="Arial"/>
        </w:rPr>
        <w:t>6</w:t>
      </w:r>
      <w:r w:rsidRPr="00DF5A55">
        <w:rPr>
          <w:rFonts w:cs="Arial"/>
        </w:rPr>
        <w:t xml:space="preserve"> až </w:t>
      </w:r>
      <w:r w:rsidR="00C87AB7">
        <w:rPr>
          <w:rFonts w:cs="Arial"/>
        </w:rPr>
        <w:t>10</w:t>
      </w:r>
      <w:r w:rsidRPr="00DF5A55">
        <w:rPr>
          <w:rFonts w:cs="Arial"/>
        </w:rPr>
        <w:t>,0 m</w:t>
      </w:r>
      <w:r w:rsidRPr="00DF5A55">
        <w:rPr>
          <w:rFonts w:cs="Arial"/>
          <w:vertAlign w:val="superscript"/>
        </w:rPr>
        <w:t>3</w:t>
      </w:r>
      <w:r w:rsidRPr="00DF5A55">
        <w:rPr>
          <w:rFonts w:cs="Arial"/>
        </w:rPr>
        <w:t xml:space="preserve">/hod, uvažovaný max. prevádzkový prietok zemného plynu </w:t>
      </w:r>
      <w:r w:rsidR="00C87AB7">
        <w:rPr>
          <w:rFonts w:cs="Arial"/>
        </w:rPr>
        <w:t>10,36</w:t>
      </w:r>
      <w:r w:rsidRPr="00DF5A55">
        <w:rPr>
          <w:rFonts w:cs="Arial"/>
        </w:rPr>
        <w:t xml:space="preserve"> m</w:t>
      </w:r>
      <w:r w:rsidRPr="00DF5A55">
        <w:rPr>
          <w:rFonts w:cs="Arial"/>
          <w:vertAlign w:val="superscript"/>
        </w:rPr>
        <w:t>3</w:t>
      </w:r>
      <w:r w:rsidRPr="00DF5A55">
        <w:rPr>
          <w:rFonts w:cs="Arial"/>
        </w:rPr>
        <w:t xml:space="preserve">/hod. Za plynomerom bude osadený uzáver plynu s integrovanou tlakovou zátkou. </w:t>
      </w:r>
      <w:r w:rsidR="00375F85">
        <w:rPr>
          <w:rFonts w:cs="Arial"/>
        </w:rPr>
        <w:t xml:space="preserve"> </w:t>
      </w:r>
    </w:p>
    <w:bookmarkEnd w:id="10"/>
    <w:p w14:paraId="2371342F" w14:textId="77777777" w:rsidR="00DF5A55" w:rsidRPr="00DF5A55" w:rsidRDefault="00DF5A55" w:rsidP="00DF5A55">
      <w:pPr>
        <w:rPr>
          <w:rFonts w:cs="Arial"/>
          <w:sz w:val="2"/>
        </w:rPr>
      </w:pPr>
    </w:p>
    <w:p w14:paraId="48EBB9A1" w14:textId="77777777" w:rsidR="00DF5A55" w:rsidRPr="00DF5A55" w:rsidRDefault="00DF5A55" w:rsidP="00DF5A55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4.3  Plynovodné potrubia</w:t>
      </w:r>
    </w:p>
    <w:p w14:paraId="42C3ACE8" w14:textId="2FD062EF" w:rsidR="00DF5A55" w:rsidRPr="00DF5A55" w:rsidRDefault="00DF5A55" w:rsidP="00F4478C">
      <w:r w:rsidRPr="00DF5A55">
        <w:t xml:space="preserve">Potrubie DN </w:t>
      </w:r>
      <w:r w:rsidR="00375F85">
        <w:t>32</w:t>
      </w:r>
      <w:r w:rsidRPr="00DF5A55">
        <w:t xml:space="preserve"> na výstupe zo skrinky MZ (za guľovým kohútom)</w:t>
      </w:r>
      <w:r w:rsidR="00375F85">
        <w:t xml:space="preserve"> v chráničke vstupuje do miestnosti 1</w:t>
      </w:r>
      <w:r w:rsidR="00485D2F">
        <w:t>.</w:t>
      </w:r>
      <w:r w:rsidR="00375F85">
        <w:t xml:space="preserve">08 </w:t>
      </w:r>
      <w:r w:rsidR="00485D2F">
        <w:t>– V</w:t>
      </w:r>
      <w:r w:rsidR="00375F85">
        <w:t>áhovňa</w:t>
      </w:r>
      <w:r w:rsidR="00485D2F">
        <w:t xml:space="preserve"> kde</w:t>
      </w:r>
      <w:r w:rsidR="00375F85">
        <w:t xml:space="preserve"> stúpa na úroveň 1,9m </w:t>
      </w:r>
      <w:r w:rsidRPr="00DF5A55">
        <w:t xml:space="preserve"> bude vedené popri stene  až do </w:t>
      </w:r>
      <w:r w:rsidR="00375F85">
        <w:t>miestnosti 2</w:t>
      </w:r>
      <w:r w:rsidR="00485D2F">
        <w:t>.</w:t>
      </w:r>
      <w:r w:rsidR="00375F85">
        <w:t>27 -</w:t>
      </w:r>
      <w:r w:rsidR="00485D2F">
        <w:t xml:space="preserve"> S</w:t>
      </w:r>
      <w:r w:rsidR="00375F85">
        <w:t>klad obalov</w:t>
      </w:r>
      <w:r w:rsidRPr="00DF5A55">
        <w:t xml:space="preserve">, kde v chráničke prejde cez stenu k navrhovanému plynovému kotlu. Prívod plynu bude ukončený uzáverom spotrebiča – guľovým kohútom, osadeným vo výške cca 1,2 m nad podlahou, pripojenie spotrebiča bude pružnou hadicou pre plyn dĺžky max. 0,5 m. Pri prestupe cez stenu bude potrubie uložené do oceľovej chráničky svetlosti o 2 dimenzie väčšej ako DN potrubia,  utesnené podľa STN 38 6450.    </w:t>
      </w:r>
    </w:p>
    <w:p w14:paraId="67CD0ECE" w14:textId="610E44FE" w:rsidR="00DF5A55" w:rsidRPr="00DF5A55" w:rsidRDefault="00DF5A55" w:rsidP="00F4478C">
      <w:r w:rsidRPr="00DF5A55">
        <w:t>Rozvody plynu budú urobené z oceľových rúr bezšvíkových, akosť 11 353.1 (STN 42 02 50) spájaných zváraním. Potrubia budú vedené popri stenách vo vzd</w:t>
      </w:r>
      <w:r w:rsidR="00485D2F">
        <w:t>ialenosti</w:t>
      </w:r>
      <w:r w:rsidRPr="00DF5A55">
        <w:t xml:space="preserve"> min. </w:t>
      </w:r>
      <w:smartTag w:uri="urn:schemas-microsoft-com:office:smarttags" w:element="metricconverter">
        <w:smartTagPr>
          <w:attr w:name="ProductID" w:val="100 mm"/>
        </w:smartTagPr>
        <w:r w:rsidRPr="00DF5A55">
          <w:t>100 mm</w:t>
        </w:r>
      </w:smartTag>
      <w:r w:rsidRPr="00DF5A55">
        <w:t xml:space="preserve"> od povrchu, uložené na konzolách, resp. závesoch. </w:t>
      </w:r>
    </w:p>
    <w:p w14:paraId="4EBF7CB9" w14:textId="4EFB054A" w:rsidR="00DF5A55" w:rsidRPr="00DF5A55" w:rsidRDefault="00DF5A55" w:rsidP="00F4478C">
      <w:r w:rsidRPr="00DF5A55">
        <w:t xml:space="preserve">Pri prestupoch potrubí cez stavebné konštrukcie tieto osadiť do oceľovej chráničky, min. o dve DN väčšej ako dimenzia plynovodného potrubia, utesnenej pružným tmelom. Rozvod potrubí po vykonaní tlakových skúšok opatriť dvojnásobným syntetickým náterom žltej farby.  </w:t>
      </w:r>
    </w:p>
    <w:p w14:paraId="2320A797" w14:textId="77777777" w:rsidR="00DF5A55" w:rsidRPr="00DF5A55" w:rsidRDefault="00DF5A55" w:rsidP="00DF5A55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4.4  Plynový spotrebič</w:t>
      </w:r>
    </w:p>
    <w:p w14:paraId="36CA124A" w14:textId="77777777" w:rsidR="00DF5A55" w:rsidRPr="00DF5A55" w:rsidRDefault="00DF5A55" w:rsidP="00DF5A55">
      <w:r w:rsidRPr="00DF5A55">
        <w:t>Inštalované budú zariadenia, ktoré majú osvedčenú konštrukčnú dokumentáciu (vyhradené technické zariadenia podľa vyhl. 508/2009 Z.z.), platné vyhlásenie o zhode (výrobky podľa zák. č. 264/1999 Z.z.), prípadne inú sprievodnú dokumentáciu od výrobcu (distributéra).</w:t>
      </w:r>
    </w:p>
    <w:p w14:paraId="012C70D6" w14:textId="7AA54D24" w:rsidR="00DF5A55" w:rsidRPr="00DF5A55" w:rsidRDefault="00DF5A55" w:rsidP="00DF5A55">
      <w:r w:rsidRPr="00DF5A55">
        <w:t>Pre vykurovanie riešeného objektu bud</w:t>
      </w:r>
      <w:r w:rsidR="005D0824">
        <w:t>ú</w:t>
      </w:r>
      <w:r w:rsidRPr="00DF5A55">
        <w:t xml:space="preserve"> inštalovan</w:t>
      </w:r>
      <w:r w:rsidR="005D0824">
        <w:t>é2 kusy</w:t>
      </w:r>
      <w:r w:rsidRPr="00DF5A55">
        <w:t xml:space="preserve"> nástenn</w:t>
      </w:r>
      <w:r w:rsidR="005D0824">
        <w:t>é</w:t>
      </w:r>
      <w:r w:rsidRPr="00DF5A55">
        <w:t xml:space="preserve"> kondenzačn</w:t>
      </w:r>
      <w:r w:rsidR="005D0824">
        <w:t>é</w:t>
      </w:r>
      <w:r w:rsidRPr="00DF5A55">
        <w:t xml:space="preserve"> kot</w:t>
      </w:r>
      <w:r w:rsidR="005D0824">
        <w:t xml:space="preserve">le Logano plus GB192 -50 iW </w:t>
      </w:r>
      <w:r w:rsidRPr="00DF5A55">
        <w:t xml:space="preserve">, menovitý výkon cca </w:t>
      </w:r>
      <w:r w:rsidR="008138D4">
        <w:t>2x</w:t>
      </w:r>
      <w:r w:rsidR="005D0824">
        <w:t>49</w:t>
      </w:r>
      <w:r w:rsidRPr="00DF5A55">
        <w:t xml:space="preserve"> kW. Kot</w:t>
      </w:r>
      <w:r w:rsidR="008138D4">
        <w:t>le</w:t>
      </w:r>
      <w:r w:rsidRPr="00DF5A55">
        <w:t xml:space="preserve"> </w:t>
      </w:r>
      <w:r w:rsidR="008138D4">
        <w:t>s uzatvorenou spaľovacou komorou</w:t>
      </w:r>
      <w:r w:rsidRPr="00DF5A55">
        <w:t xml:space="preserve"> na spaľovanie zemného plynu. </w:t>
      </w:r>
    </w:p>
    <w:p w14:paraId="07C42165" w14:textId="77777777" w:rsidR="00485D2F" w:rsidRDefault="00485D2F" w:rsidP="00DF5A55"/>
    <w:p w14:paraId="1AE46392" w14:textId="77777777" w:rsidR="00485D2F" w:rsidRDefault="00485D2F" w:rsidP="00DF5A55"/>
    <w:p w14:paraId="20F16DF4" w14:textId="0A41D711" w:rsidR="00DF5A55" w:rsidRPr="00DF5A55" w:rsidRDefault="00DF5A55" w:rsidP="00DF5A55">
      <w:r w:rsidRPr="00DF5A55">
        <w:lastRenderedPageBreak/>
        <w:t>Technické parametre kotla</w:t>
      </w:r>
      <w:r w:rsidR="00520D12">
        <w:t xml:space="preserve"> Logano plus GB192 -50 iW</w:t>
      </w:r>
      <w:r w:rsidRPr="00DF5A55">
        <w:t xml:space="preserve">: </w:t>
      </w:r>
    </w:p>
    <w:p w14:paraId="6913E38F" w14:textId="37079E2D" w:rsidR="00DF5A55" w:rsidRPr="00DF5A55" w:rsidRDefault="00DF5A55" w:rsidP="00DF5A55">
      <w:r w:rsidRPr="00DF5A55">
        <w:t>- menovitý výkon   ..................................................................................................</w:t>
      </w:r>
      <w:r w:rsidRPr="00DF5A55">
        <w:tab/>
      </w:r>
      <w:r w:rsidR="00520D12">
        <w:t>49</w:t>
      </w:r>
      <w:r w:rsidRPr="00DF5A55">
        <w:t xml:space="preserve"> kW</w:t>
      </w:r>
    </w:p>
    <w:p w14:paraId="3B0DD9F3" w14:textId="77777777" w:rsidR="00DF5A55" w:rsidRPr="00DF5A55" w:rsidRDefault="00DF5A55" w:rsidP="00DF5A55">
      <w:r w:rsidRPr="00DF5A55">
        <w:t>- normový stupeň využitia ......................................................................................</w:t>
      </w:r>
      <w:r w:rsidRPr="00DF5A55">
        <w:tab/>
        <w:t>98 až 106 % (kondenzácia)</w:t>
      </w:r>
    </w:p>
    <w:p w14:paraId="1D6F1E24" w14:textId="77777777" w:rsidR="00DF5A55" w:rsidRPr="00DF5A55" w:rsidRDefault="00DF5A55" w:rsidP="00DF5A55">
      <w:pPr>
        <w:rPr>
          <w:rFonts w:cs="Arial"/>
        </w:rPr>
      </w:pPr>
      <w:r w:rsidRPr="00DF5A55">
        <w:rPr>
          <w:rFonts w:cs="Arial"/>
        </w:rPr>
        <w:t>- predpísané palivo ................................................................................................</w:t>
      </w:r>
      <w:r w:rsidRPr="00DF5A55">
        <w:rPr>
          <w:rFonts w:cs="Arial"/>
        </w:rPr>
        <w:tab/>
        <w:t>zemný plyn</w:t>
      </w:r>
    </w:p>
    <w:p w14:paraId="4AE3FCE8" w14:textId="413434E1" w:rsidR="00DF5A55" w:rsidRPr="00DF5A55" w:rsidRDefault="00DF5A55" w:rsidP="00DF5A55">
      <w:pPr>
        <w:rPr>
          <w:rFonts w:cs="Arial"/>
        </w:rPr>
      </w:pPr>
      <w:r w:rsidRPr="00DF5A55">
        <w:rPr>
          <w:rFonts w:cs="Arial"/>
        </w:rPr>
        <w:t>- spotreba plynu .....................................................................................................</w:t>
      </w:r>
      <w:r w:rsidRPr="00DF5A55">
        <w:rPr>
          <w:rFonts w:cs="Arial"/>
        </w:rPr>
        <w:tab/>
      </w:r>
      <w:r w:rsidR="00520D12">
        <w:rPr>
          <w:rFonts w:cs="Arial"/>
        </w:rPr>
        <w:t>5,18</w:t>
      </w:r>
      <w:r w:rsidRPr="00DF5A55">
        <w:rPr>
          <w:rFonts w:cs="Arial"/>
        </w:rPr>
        <w:t xml:space="preserve"> Nm</w:t>
      </w:r>
      <w:r w:rsidRPr="00DF5A55">
        <w:rPr>
          <w:rFonts w:cs="Arial"/>
          <w:vertAlign w:val="superscript"/>
        </w:rPr>
        <w:t>3</w:t>
      </w:r>
      <w:r w:rsidRPr="00DF5A55">
        <w:rPr>
          <w:rFonts w:cs="Arial"/>
        </w:rPr>
        <w:t>/hod</w:t>
      </w:r>
    </w:p>
    <w:p w14:paraId="276A221B" w14:textId="2EBA5CF0" w:rsidR="00DF5A55" w:rsidRPr="00DF5A55" w:rsidRDefault="00DF5A55" w:rsidP="00DF5A55">
      <w:pPr>
        <w:rPr>
          <w:rFonts w:cs="Arial"/>
        </w:rPr>
      </w:pPr>
      <w:r w:rsidRPr="00DF5A55">
        <w:rPr>
          <w:rFonts w:cs="Arial"/>
        </w:rPr>
        <w:t xml:space="preserve">- pripojenie plynu ....................................................................................................            G </w:t>
      </w:r>
      <w:r w:rsidR="00520D12">
        <w:rPr>
          <w:rFonts w:cs="Arial"/>
        </w:rPr>
        <w:t>3/4</w:t>
      </w:r>
      <w:r w:rsidRPr="00DF5A55">
        <w:rPr>
          <w:rFonts w:cs="Arial"/>
        </w:rPr>
        <w:t>“</w:t>
      </w:r>
    </w:p>
    <w:p w14:paraId="2DAB26C6" w14:textId="77777777" w:rsidR="00DF5A55" w:rsidRPr="00DF5A55" w:rsidRDefault="00DF5A55" w:rsidP="00DF5A55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4.5  Odvod spalín</w:t>
      </w:r>
    </w:p>
    <w:p w14:paraId="56CFC082" w14:textId="5EB10CAF" w:rsidR="00DF5A55" w:rsidRPr="00DF5A55" w:rsidRDefault="00935A5E" w:rsidP="00DF5A55">
      <w:r w:rsidRPr="00935A5E">
        <w:t xml:space="preserve">Odvod spalín z kotla je navrhnutý systémovými potrubiami ø160 mm pre kaskádu kotlov 1,0 m nad strechu objektu. Potrubie je uchytené na nosnú konštrukciu obvodového plášťa budovy. Pri montáži je potrebné dodržiavať všetky bezpečnostné predpisy pre prácu vo výškach.  </w:t>
      </w:r>
      <w:r w:rsidR="00DF5A55" w:rsidRPr="00DF5A55">
        <w:t xml:space="preserve">Navrhnutý spôsob odvodu spalín vyhovuje požiadavkám STN 73 4201, ako aj výrobcu kotlov. </w:t>
      </w:r>
    </w:p>
    <w:p w14:paraId="7B192685" w14:textId="77777777" w:rsidR="0072255A" w:rsidRPr="00DF5A55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1" w:name="_Toc86606967"/>
      <w:r w:rsidRPr="00DF5A55">
        <w:rPr>
          <w:rFonts w:ascii="Arial Narrow" w:hAnsi="Arial Narrow"/>
          <w:bCs/>
          <w:iCs/>
          <w:caps/>
          <w:color w:val="003366"/>
          <w:sz w:val="28"/>
          <w:szCs w:val="28"/>
        </w:rPr>
        <w:t>5.  Skúšky zariadení</w:t>
      </w:r>
      <w:bookmarkEnd w:id="9"/>
      <w:bookmarkEnd w:id="11"/>
    </w:p>
    <w:p w14:paraId="0EE7C0B8" w14:textId="5EA49369" w:rsidR="00DF5A55" w:rsidRDefault="00DF5A55" w:rsidP="00DF5A55">
      <w:bookmarkStart w:id="12" w:name="_Toc31892363"/>
      <w:r w:rsidRPr="00DF5A55">
        <w:t>Po zmontovaní budú rozvody zemného plynu podrobené po jednotlivých úsekoch skúškam na pevnosť a tesnosť podľa príslušných noriem a predpisov. O vykonaní skúšok bude vypracovaný zápis a následne môže byť urobená revízia a vypracovaná východisková revízna správa rozvodov plynu.</w:t>
      </w:r>
    </w:p>
    <w:p w14:paraId="6AB7FDF5" w14:textId="2F967F8A" w:rsidR="005B7DA1" w:rsidRDefault="005B7DA1" w:rsidP="00DF5A55"/>
    <w:p w14:paraId="27FE1F29" w14:textId="77777777" w:rsidR="005B7DA1" w:rsidRPr="00DF5A55" w:rsidRDefault="005B7DA1" w:rsidP="005B7DA1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5.2  Skúšky NTL rozvodov plynu – 2 kPa</w:t>
      </w:r>
    </w:p>
    <w:p w14:paraId="5AFE2C3A" w14:textId="77777777" w:rsidR="005B7DA1" w:rsidRPr="00DF5A55" w:rsidRDefault="005B7DA1" w:rsidP="005B7DA1">
      <w:r w:rsidRPr="00DF5A55">
        <w:t xml:space="preserve">Tlakovú skúšku POZ so spotrebičmi do 50 kW podľa TPP 704 01, čl. 7.1 ~ 7.14 možno uskutočniť po kompletnom zmontovaní rozvodov plynu a urobení vizuálnej kontroly, za účasti investora. Skúšobným médiom bude vzduch. Skúšobný pretlak bude 10 kPa (min. 5, max. 15 kPa), meraný vodným U-manometrom, presnosť merania 1 %  (citlivosť 10 Pa). Rozvody potrubí budú postupne natlakované na hodnotu skúšobného pretlaku a po 30 minútovom ustálení tlaku môže byť urobená tlaková skúška pevnosti potrubí. Skúška bude vyhovujúca, ak nenastane úbytok tlaku po dobu 30 minút. Po tlakovej skúške bude urobená skúška tesnosti - skúšobný pretlak 10 kPa, dĺžka trvania 30 minút. </w:t>
      </w:r>
    </w:p>
    <w:p w14:paraId="63F3A015" w14:textId="77777777" w:rsidR="005B7DA1" w:rsidRPr="00DF5A55" w:rsidRDefault="005B7DA1" w:rsidP="005B7DA1">
      <w:r w:rsidRPr="00DF5A55">
        <w:t xml:space="preserve">Tesnosť spojov a armatúr bude potrebné overiť penotvorným roztokom. </w:t>
      </w:r>
    </w:p>
    <w:p w14:paraId="3BA79B50" w14:textId="77777777" w:rsidR="005B7DA1" w:rsidRPr="00DF5A55" w:rsidRDefault="005B7DA1" w:rsidP="00DF5A55"/>
    <w:p w14:paraId="0C9D5AAC" w14:textId="428DC2CC" w:rsidR="0072255A" w:rsidRPr="00DF5A55" w:rsidRDefault="005B7DA1" w:rsidP="005B7DA1">
      <w:pPr>
        <w:rPr>
          <w:bCs/>
          <w:iCs/>
          <w:caps/>
          <w:color w:val="003366"/>
          <w:sz w:val="28"/>
          <w:szCs w:val="28"/>
        </w:rPr>
      </w:pPr>
      <w:r>
        <w:rPr>
          <w:rFonts w:cs="Arial"/>
          <w:b/>
          <w:color w:val="003366"/>
          <w:sz w:val="24"/>
        </w:rPr>
        <w:t xml:space="preserve"> </w:t>
      </w:r>
      <w:bookmarkStart w:id="13" w:name="_Toc86606968"/>
      <w:r w:rsidR="0072255A" w:rsidRPr="00DF5A55">
        <w:rPr>
          <w:bCs/>
          <w:iCs/>
          <w:caps/>
          <w:color w:val="003366"/>
          <w:sz w:val="28"/>
          <w:szCs w:val="28"/>
        </w:rPr>
        <w:t xml:space="preserve">6.  </w:t>
      </w:r>
      <w:r w:rsidR="00DF5A55" w:rsidRPr="00DF5A55">
        <w:rPr>
          <w:bCs/>
          <w:iCs/>
          <w:caps/>
          <w:color w:val="003366"/>
          <w:sz w:val="28"/>
          <w:szCs w:val="28"/>
        </w:rPr>
        <w:t xml:space="preserve">uvedenie do prevádzky, </w:t>
      </w:r>
      <w:r w:rsidR="0072255A" w:rsidRPr="00DF5A55">
        <w:rPr>
          <w:bCs/>
          <w:iCs/>
          <w:caps/>
          <w:color w:val="003366"/>
          <w:sz w:val="28"/>
          <w:szCs w:val="28"/>
        </w:rPr>
        <w:t>Prevádzkové požiadavky</w:t>
      </w:r>
      <w:bookmarkEnd w:id="12"/>
      <w:bookmarkEnd w:id="13"/>
    </w:p>
    <w:p w14:paraId="0BAC29F1" w14:textId="77777777" w:rsidR="00DF5A55" w:rsidRPr="00DF5A55" w:rsidRDefault="00DF5A55" w:rsidP="00DF5A55">
      <w:pPr>
        <w:shd w:val="clear" w:color="auto" w:fill="E6E6E6"/>
        <w:spacing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6.1  Uvedenie do prevádzky, odovzdanie</w:t>
      </w:r>
    </w:p>
    <w:p w14:paraId="66D1B187" w14:textId="77777777" w:rsidR="00DF5A55" w:rsidRPr="00DF5A55" w:rsidRDefault="00DF5A55" w:rsidP="00DF5A55">
      <w:r w:rsidRPr="00DF5A55">
        <w:t>Vpustenie plynu do potrubia a uvedenie zariadení do prevádzky vykonajú osoby k tomu oprávnené - odborný pracovník podľa príslušných vyhlášok a predpisov (Vyhl. č. 508 / 2009 Z.z.). Pri odovzdaní a prevzatí rozvodov plynu a plynového odberného zariadenia dodávateľ predloží predovšetkým nasledujúcu dokumentáciu :</w:t>
      </w:r>
    </w:p>
    <w:p w14:paraId="159483FA" w14:textId="77777777" w:rsidR="00DF5A55" w:rsidRPr="00DF5A55" w:rsidRDefault="00DF5A55" w:rsidP="00DF5A55">
      <w:r w:rsidRPr="00DF5A55">
        <w:t>- osvedčenie konštrukčnej dokumentácie rozvodov plynu</w:t>
      </w:r>
    </w:p>
    <w:p w14:paraId="7D97D1ED" w14:textId="77777777" w:rsidR="00DF5A55" w:rsidRPr="00DF5A55" w:rsidRDefault="00DF5A55" w:rsidP="00DF5A55">
      <w:r w:rsidRPr="00DF5A55">
        <w:t>- zápis o tlakovej a tesnostnej skúške odberného plynového zariadenia</w:t>
      </w:r>
    </w:p>
    <w:p w14:paraId="445D7592" w14:textId="77777777" w:rsidR="00DF5A55" w:rsidRPr="00DF5A55" w:rsidRDefault="00DF5A55" w:rsidP="00DF5A55">
      <w:r w:rsidRPr="00DF5A55">
        <w:t>- správu o odbornej prehliadke a skúške plynového zariadenia (tzv. východzia revízna správa)</w:t>
      </w:r>
    </w:p>
    <w:p w14:paraId="50744146" w14:textId="77777777" w:rsidR="00DF5A55" w:rsidRPr="00DF5A55" w:rsidRDefault="00DF5A55" w:rsidP="00DF5A55">
      <w:r w:rsidRPr="00DF5A55">
        <w:t>- zápis o vykonaní prevádzkovej skúšky a o prevádzkovom školení obsluhy, zápis o vpustení plynu</w:t>
      </w:r>
    </w:p>
    <w:p w14:paraId="16F8EF1A" w14:textId="77777777" w:rsidR="00DF5A55" w:rsidRPr="00DF5A55" w:rsidRDefault="00DF5A55" w:rsidP="00DF5A55">
      <w:r w:rsidRPr="00DF5A55">
        <w:t>- výkres skutočného vyhotovenia so zakreslenými zmenami voči projektovej dokumentácii</w:t>
      </w:r>
    </w:p>
    <w:p w14:paraId="66F975A9" w14:textId="77777777" w:rsidR="00DF5A55" w:rsidRPr="00DF5A55" w:rsidRDefault="00DF5A55" w:rsidP="00DF5A55">
      <w:r w:rsidRPr="00DF5A55">
        <w:t>- osvedčenia o akosti a kompletnosti použitého materiálu (potrubia, armatúry, tvarovky ...)</w:t>
      </w:r>
    </w:p>
    <w:p w14:paraId="0B23BD99" w14:textId="77777777" w:rsidR="00DF5A55" w:rsidRPr="00DF5A55" w:rsidRDefault="00DF5A55" w:rsidP="00DF5A55">
      <w:pPr>
        <w:shd w:val="clear" w:color="auto" w:fill="E6E6E6"/>
        <w:spacing w:before="240" w:after="120"/>
        <w:ind w:firstLine="284"/>
        <w:rPr>
          <w:rFonts w:cs="Arial"/>
          <w:b/>
          <w:color w:val="003366"/>
          <w:sz w:val="24"/>
        </w:rPr>
      </w:pPr>
      <w:r w:rsidRPr="00DF5A55">
        <w:rPr>
          <w:rFonts w:cs="Arial"/>
          <w:b/>
          <w:color w:val="003366"/>
          <w:sz w:val="24"/>
        </w:rPr>
        <w:t>6.2  Prevádzkové požiadavky</w:t>
      </w:r>
    </w:p>
    <w:p w14:paraId="752D4AF4" w14:textId="77777777" w:rsidR="00DF5A55" w:rsidRPr="00DF5A55" w:rsidRDefault="00DF5A55" w:rsidP="00DF5A55">
      <w:pPr>
        <w:rPr>
          <w:color w:val="FF0000"/>
        </w:rPr>
      </w:pPr>
      <w:r w:rsidRPr="00DF5A55">
        <w:t>Počas prevádzkovania sa bude užívateľ riadiť predovšetkým ustanoveniami STN 38 6405, Vyhl. č. 508/2009 Z.z.</w:t>
      </w:r>
      <w:r w:rsidRPr="00DF5A55">
        <w:rPr>
          <w:color w:val="FF0000"/>
        </w:rPr>
        <w:t xml:space="preserve"> </w:t>
      </w:r>
    </w:p>
    <w:p w14:paraId="7D8EBC7C" w14:textId="4C088DF1" w:rsidR="00DF5A55" w:rsidRDefault="00DF5A55" w:rsidP="00DF5A55">
      <w:r w:rsidRPr="00DF5A55">
        <w:t>Prevádzkovateľ je povinný vypracovať prevádzkový poriadok kotolne, zabezpečiť zaškolenie obsluhy. Chod kotolne bude automatizovaný, preto bude potrebný iba občasný dozor v pravidelných intervaloch stanovených v prevádzkovom predpise (odporúčame kontrolu min. 2 x denne). Obsluha kotolne musí mať potrebné skúšky z prevádzkovania vyhradených plynových a tlakových zariadení, obsluhy elektrických zariadení a pod., musí byť zaškolená zmluvnými servisnými technikmi jednotlivých výrobcov na prevádzkovanie a údržbu jednotlivých technologických zariadení.</w:t>
      </w:r>
    </w:p>
    <w:p w14:paraId="7F3A3A6D" w14:textId="77777777" w:rsidR="00FA0753" w:rsidRPr="00DF5A55" w:rsidRDefault="00FA0753" w:rsidP="00DF5A55">
      <w:pPr>
        <w:rPr>
          <w:rFonts w:cs="Arial"/>
        </w:rPr>
      </w:pPr>
    </w:p>
    <w:p w14:paraId="67E1E811" w14:textId="77777777" w:rsidR="00DF5A55" w:rsidRPr="00DF5A55" w:rsidRDefault="00DF5A55" w:rsidP="00DF5A55">
      <w:pPr>
        <w:rPr>
          <w:rFonts w:cs="Arial"/>
        </w:rPr>
      </w:pPr>
      <w:r w:rsidRPr="00DF5A55">
        <w:rPr>
          <w:rFonts w:cs="Arial"/>
        </w:rPr>
        <w:t>Vyhradené technické zariadenia budú podliehať pravidelným odbor. prehliadkam (Príloha č.5 Vyhl. č. 508/2009 Z.z.) :</w:t>
      </w:r>
    </w:p>
    <w:p w14:paraId="6090BA4D" w14:textId="77777777" w:rsidR="00DF5A55" w:rsidRPr="00DF5A55" w:rsidRDefault="00DF5A55" w:rsidP="00DF5A55">
      <w:pPr>
        <w:rPr>
          <w:sz w:val="22"/>
          <w:u w:val="single"/>
        </w:rPr>
      </w:pPr>
      <w:r w:rsidRPr="00DF5A55">
        <w:rPr>
          <w:sz w:val="22"/>
          <w:u w:val="single"/>
        </w:rPr>
        <w:t xml:space="preserve">- VPZ skupiny B.g </w:t>
      </w:r>
    </w:p>
    <w:p w14:paraId="2B480BEB" w14:textId="77777777" w:rsidR="00DF5A55" w:rsidRPr="00DF5A55" w:rsidRDefault="00DF5A55" w:rsidP="00DF5A55">
      <w:r w:rsidRPr="00DF5A55">
        <w:t>v intervale 3 roky odborná prehliadka (RT), v intervale 6 rokov odborná skúška (RT)</w:t>
      </w:r>
    </w:p>
    <w:p w14:paraId="05FDF816" w14:textId="77777777" w:rsidR="00DF5A55" w:rsidRPr="00DF5A55" w:rsidRDefault="00DF5A55" w:rsidP="00DF5A55">
      <w:pPr>
        <w:rPr>
          <w:sz w:val="22"/>
          <w:u w:val="single"/>
        </w:rPr>
      </w:pPr>
      <w:r w:rsidRPr="00DF5A55">
        <w:rPr>
          <w:sz w:val="22"/>
          <w:u w:val="single"/>
        </w:rPr>
        <w:t xml:space="preserve">- VPZ skupiny B.h </w:t>
      </w:r>
    </w:p>
    <w:p w14:paraId="7B2322EE" w14:textId="77777777" w:rsidR="00DF5A55" w:rsidRPr="00DF5A55" w:rsidRDefault="00DF5A55" w:rsidP="00DF5A55">
      <w:r w:rsidRPr="00DF5A55">
        <w:t>v intervale 1 rok odborná prehliadka (RT), v intervale 3 roky odborná skúška (RT)</w:t>
      </w:r>
    </w:p>
    <w:p w14:paraId="2F52DB71" w14:textId="450781BA" w:rsidR="00DF5A55" w:rsidRPr="00DF5A55" w:rsidRDefault="00DF5A55" w:rsidP="00DF5A55">
      <w:pPr>
        <w:rPr>
          <w:rFonts w:cs="Arial"/>
        </w:rPr>
      </w:pPr>
      <w:r w:rsidRPr="00DF5A55">
        <w:t>Uvedené skúšky a prehliadky bude vykonávať odb. pracovník so spôsobilosťou v zmysle §15 Vyhl. č.508/2009 Z.z.</w:t>
      </w:r>
    </w:p>
    <w:p w14:paraId="18B93FD7" w14:textId="77777777" w:rsidR="00DF5A55" w:rsidRPr="00DF5A55" w:rsidRDefault="00DF5A55" w:rsidP="00DF5A55">
      <w:pPr>
        <w:rPr>
          <w:sz w:val="22"/>
        </w:rPr>
      </w:pPr>
      <w:r w:rsidRPr="00DF5A55">
        <w:rPr>
          <w:sz w:val="22"/>
        </w:rPr>
        <w:t>RT – revízny technik</w:t>
      </w:r>
    </w:p>
    <w:p w14:paraId="15D2E104" w14:textId="77777777" w:rsidR="00DF5A55" w:rsidRPr="00DF5A55" w:rsidRDefault="00DF5A55" w:rsidP="00DF5A55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4" w:name="_Toc86606969"/>
      <w:r w:rsidRPr="00DF5A55">
        <w:rPr>
          <w:rFonts w:ascii="Arial Narrow" w:hAnsi="Arial Narrow"/>
          <w:bCs/>
          <w:iCs/>
          <w:caps/>
          <w:color w:val="003366"/>
          <w:sz w:val="28"/>
          <w:szCs w:val="28"/>
        </w:rPr>
        <w:lastRenderedPageBreak/>
        <w:t>7.  bezpečnosť a ochrana zdravia pri práci</w:t>
      </w:r>
      <w:bookmarkEnd w:id="14"/>
    </w:p>
    <w:p w14:paraId="560F1BFC" w14:textId="77777777" w:rsidR="00DF5A55" w:rsidRPr="00DF5A55" w:rsidRDefault="00DF5A55" w:rsidP="00DF5A55">
      <w:r w:rsidRPr="00DF5A55">
        <w:t>Bezpečnosť a ochrana zdravia pri práci sa musí riadiť „Plánom bezpečnosti a ochrany zdravia pri práci“, ktorý musí byť vyhotovený zhotoviteľom stavby v zmysle nariadenia vlády SR 396/2006 Z.z. - o minimálnych bezpečnostných a zdravotných požiadavkách na stavenisko. Plán sa bude vzťahovať na právnické osoby a fyzické osoby, ktoré budú zamestnávateľmi alebo samostatne zárobkovo činnými osobami v zmysle zákona NR SR 124/2006 Z.z. a budú v zmluvnom vzťahu so stavebníkom, resp. s hlavným dodávateľom alebo sa nejakým iným zmluvným spôsobom budú spolupodieľať na stavbe dodávkou prác. Zámerom projektu „Plán bezpečnosti a ochrany zdravia pri práci“, bude zaistenie bezpečnej práce všetkých pracovníkov hlavného dodávateľa a jeho subdodávateľov v priestore staveniska ako aj ostatných prevádzok okolo a zaistenie ochrany životného prostredia pred nebezpečnými javmi, ktoré by mohli nastať v súvislosti s realizáciou projektu.</w:t>
      </w:r>
    </w:p>
    <w:p w14:paraId="1CB181F8" w14:textId="77777777" w:rsidR="00DF5A55" w:rsidRPr="00DF5A55" w:rsidRDefault="00DF5A55" w:rsidP="00DF5A55"/>
    <w:p w14:paraId="60D3BE64" w14:textId="77777777" w:rsidR="00DF5A55" w:rsidRDefault="00DF5A55" w:rsidP="00DF5A55">
      <w:r w:rsidRPr="00DF5A55">
        <w:t xml:space="preserve">Plynové zariadenie je navrhnuté podľa STN EN 12 007-1, 12 007-2, STN  EN 287-1, STN 12327, nariadenia vlády SR 396/2006, zákon 124/2006, vyhláška 508/2009 Z.z. Zariadenia obsahuje len tie riziká, ktoré vyplývajú z uvedených predpisov a noriem citovaných v tejto PD a sú v nich zohľadnené.  </w:t>
      </w:r>
    </w:p>
    <w:p w14:paraId="363BDE1E" w14:textId="77777777" w:rsidR="00DF5A55" w:rsidRDefault="00DF5A55" w:rsidP="00DF5A55"/>
    <w:p w14:paraId="73F78992" w14:textId="4AB484DC" w:rsidR="00BE1737" w:rsidRPr="00DF5A55" w:rsidRDefault="00BE1737" w:rsidP="005B24A4">
      <w:pPr>
        <w:spacing w:before="120"/>
      </w:pPr>
      <w:r w:rsidRPr="00DF5A55">
        <w:t>Vypracoval :</w:t>
      </w:r>
      <w:r w:rsidR="00CD4D42" w:rsidRPr="00DF5A55">
        <w:t xml:space="preserve"> </w:t>
      </w:r>
      <w:r w:rsidR="009F2693">
        <w:fldChar w:fldCharType="begin"/>
      </w:r>
      <w:r w:rsidR="009F2693">
        <w:instrText xml:space="preserve"> DOCPROPERTY  ZAK_ZOD_PRO  \* MERGEFORMAT </w:instrText>
      </w:r>
      <w:r w:rsidR="009F2693">
        <w:fldChar w:fldCharType="separate"/>
      </w:r>
      <w:r w:rsidR="006A7F4E">
        <w:t>ING. ĽUBOŠ MITOŠINKA</w:t>
      </w:r>
      <w:r w:rsidR="009F2693">
        <w:fldChar w:fldCharType="end"/>
      </w:r>
      <w:r w:rsidRPr="00DF5A55">
        <w:tab/>
      </w:r>
      <w:r w:rsidRPr="00DF5A55">
        <w:tab/>
      </w:r>
      <w:r w:rsidRPr="00DF5A55">
        <w:tab/>
      </w:r>
      <w:r w:rsidRPr="00DF5A55">
        <w:tab/>
      </w:r>
      <w:r w:rsidRPr="00DF5A55">
        <w:tab/>
      </w:r>
      <w:r w:rsidRPr="00DF5A55">
        <w:tab/>
      </w:r>
      <w:r w:rsidR="009F2693">
        <w:fldChar w:fldCharType="begin"/>
      </w:r>
      <w:r w:rsidR="009F2693">
        <w:instrText xml:space="preserve"> DOCPROPERTY  ZAK_DATUM  \* MERGEFORMAT </w:instrText>
      </w:r>
      <w:r w:rsidR="009F2693">
        <w:fldChar w:fldCharType="separate"/>
      </w:r>
      <w:r w:rsidR="006A7F4E">
        <w:t>11/21</w:t>
      </w:r>
      <w:r w:rsidR="009F2693">
        <w:fldChar w:fldCharType="end"/>
      </w:r>
    </w:p>
    <w:sectPr w:rsidR="00BE1737" w:rsidRPr="00DF5A55" w:rsidSect="006A7F4E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A7D7" w14:textId="77777777" w:rsidR="0098661B" w:rsidRDefault="0098661B" w:rsidP="003C3347">
      <w:r>
        <w:separator/>
      </w:r>
    </w:p>
  </w:endnote>
  <w:endnote w:type="continuationSeparator" w:id="0">
    <w:p w14:paraId="2B9B9203" w14:textId="77777777" w:rsidR="0098661B" w:rsidRDefault="0098661B" w:rsidP="003C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A1A0" w14:textId="69899E9E" w:rsidR="006A7F4E" w:rsidRDefault="006A7F4E" w:rsidP="00A4313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19E6D931" w14:textId="77777777" w:rsidR="006A7F4E" w:rsidRDefault="006A7F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82CA0" w14:textId="06F4DCD7" w:rsidR="006A7F4E" w:rsidRDefault="006A7F4E" w:rsidP="00A4313C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18C13B16" w14:textId="77777777" w:rsidR="006A7F4E" w:rsidRDefault="006A7F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577B0" w14:textId="77777777" w:rsidR="0098661B" w:rsidRDefault="0098661B" w:rsidP="003C3347">
      <w:r>
        <w:separator/>
      </w:r>
    </w:p>
  </w:footnote>
  <w:footnote w:type="continuationSeparator" w:id="0">
    <w:p w14:paraId="384D74DA" w14:textId="77777777" w:rsidR="0098661B" w:rsidRDefault="0098661B" w:rsidP="003C3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7611" w14:textId="77777777" w:rsidR="000E282B" w:rsidRDefault="000E282B" w:rsidP="000E282B">
    <w:pPr>
      <w:pStyle w:val="Hlavika"/>
      <w:rPr>
        <w:rFonts w:asciiTheme="minorHAnsi" w:hAnsiTheme="minorHAnsi"/>
      </w:rPr>
    </w:pPr>
    <w:r>
      <w:fldChar w:fldCharType="begin"/>
    </w:r>
    <w:r>
      <w:instrText xml:space="preserve"> INCLUDETEXT  C:\\Users\\dilia\\OneDrive\\Sablony\\header.docx \* MERGEFORMAT </w:instrText>
    </w:r>
    <w:r>
      <w:fldChar w:fldCharType="separate"/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83"/>
      <w:gridCol w:w="8503"/>
    </w:tblGrid>
    <w:tr w:rsidR="000E282B" w:rsidRPr="009029AF" w14:paraId="2BB163A0" w14:textId="77777777" w:rsidTr="00B41B62">
      <w:tc>
        <w:tcPr>
          <w:tcW w:w="1418" w:type="dxa"/>
          <w:vAlign w:val="center"/>
        </w:tcPr>
        <w:p w14:paraId="1DF94B5C" w14:textId="77777777" w:rsidR="000E282B" w:rsidRPr="009029AF" w:rsidRDefault="000E282B" w:rsidP="000E282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Názov stavby</w:t>
          </w:r>
        </w:p>
      </w:tc>
      <w:tc>
        <w:tcPr>
          <w:tcW w:w="283" w:type="dxa"/>
        </w:tcPr>
        <w:p w14:paraId="7FCCD273" w14:textId="77777777" w:rsidR="000E282B" w:rsidRPr="009029AF" w:rsidRDefault="000E282B" w:rsidP="000E282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6FB2714C" w14:textId="77C73C75" w:rsidR="000E282B" w:rsidRPr="00DE2354" w:rsidRDefault="000E282B" w:rsidP="000E282B">
          <w:pPr>
            <w:pStyle w:val="Bezriadkovania"/>
            <w:rPr>
              <w:rFonts w:ascii="Arial Narrow" w:hAnsi="Arial Narrow"/>
              <w:sz w:val="20"/>
              <w:szCs w:val="20"/>
            </w:rPr>
          </w:pP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ZAK_STAVBA1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9F2693">
            <w:rPr>
              <w:rFonts w:ascii="Arial Narrow" w:hAnsi="Arial Narrow"/>
              <w:sz w:val="20"/>
              <w:szCs w:val="20"/>
            </w:rPr>
            <w:t>ZMENA DOKONČENEJ STAVBY PRÍSTAVBOU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ZAK_STAVBA2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9F2693">
            <w:rPr>
              <w:rFonts w:ascii="Arial Narrow" w:hAnsi="Arial Narrow"/>
              <w:sz w:val="20"/>
              <w:szCs w:val="20"/>
            </w:rPr>
            <w:t xml:space="preserve">A STAVEBNÝMI ÚPRAVAMI 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  <w:tr w:rsidR="000E282B" w:rsidRPr="009029AF" w14:paraId="274D57C6" w14:textId="77777777" w:rsidTr="00B41B62">
      <w:tc>
        <w:tcPr>
          <w:tcW w:w="1418" w:type="dxa"/>
          <w:vAlign w:val="center"/>
        </w:tcPr>
        <w:p w14:paraId="4F47C412" w14:textId="77777777" w:rsidR="000E282B" w:rsidRPr="009029AF" w:rsidRDefault="000E282B" w:rsidP="000E282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Miesto stavby</w:t>
          </w:r>
        </w:p>
      </w:tc>
      <w:tc>
        <w:tcPr>
          <w:tcW w:w="283" w:type="dxa"/>
        </w:tcPr>
        <w:p w14:paraId="0F39C34E" w14:textId="77777777" w:rsidR="000E282B" w:rsidRPr="009029AF" w:rsidRDefault="000E282B" w:rsidP="000E282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360635DE" w14:textId="76594874" w:rsidR="000E282B" w:rsidRPr="00DE2354" w:rsidRDefault="000E282B" w:rsidP="000E282B">
          <w:pPr>
            <w:pStyle w:val="Bezriadkovania"/>
            <w:rPr>
              <w:rFonts w:ascii="Arial Narrow" w:hAnsi="Arial Narrow"/>
              <w:sz w:val="20"/>
              <w:szCs w:val="20"/>
            </w:rPr>
          </w:pP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ZAK_MIESTO 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9F2693">
            <w:rPr>
              <w:rFonts w:ascii="Arial Narrow" w:hAnsi="Arial Narrow"/>
              <w:sz w:val="20"/>
              <w:szCs w:val="20"/>
            </w:rPr>
            <w:t>K.Ú. NOVÉ MESTO NAD VÁHOM, PARC.Č.2418/3, 2418/38, 2412/2, 2412/6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  <w:r w:rsidRPr="00DE2354">
            <w:rPr>
              <w:rFonts w:ascii="Arial Narrow" w:hAnsi="Arial Narrow"/>
              <w:sz w:val="20"/>
              <w:szCs w:val="20"/>
            </w:rPr>
            <w:fldChar w:fldCharType="begin"/>
          </w:r>
          <w:r w:rsidRPr="00DE2354">
            <w:rPr>
              <w:rFonts w:ascii="Arial Narrow" w:hAnsi="Arial Narrow"/>
              <w:sz w:val="20"/>
              <w:szCs w:val="20"/>
            </w:rPr>
            <w:instrText xml:space="preserve"> DOCPROPERTY  ZAK_STAVBA2 \* MERGEFORMAT </w:instrText>
          </w:r>
          <w:r w:rsidRPr="00DE2354">
            <w:rPr>
              <w:rFonts w:ascii="Arial Narrow" w:hAnsi="Arial Narrow"/>
              <w:sz w:val="20"/>
              <w:szCs w:val="20"/>
            </w:rPr>
            <w:fldChar w:fldCharType="separate"/>
          </w:r>
          <w:r w:rsidR="009F2693">
            <w:rPr>
              <w:rFonts w:ascii="Arial Narrow" w:hAnsi="Arial Narrow"/>
              <w:sz w:val="20"/>
              <w:szCs w:val="20"/>
            </w:rPr>
            <w:t xml:space="preserve">A STAVEBNÝMI ÚPRAVAMI </w:t>
          </w:r>
          <w:r w:rsidRPr="00DE2354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</w:tbl>
  <w:p w14:paraId="71A051D8" w14:textId="03F20296" w:rsidR="007702A4" w:rsidRPr="000E282B" w:rsidRDefault="000E282B" w:rsidP="000E282B">
    <w:pPr>
      <w:pStyle w:val="Hlavika"/>
    </w:pP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5B639" w14:textId="021FCFB1" w:rsidR="003D0243" w:rsidRDefault="003D0243" w:rsidP="003D0243">
    <w:pPr>
      <w:pStyle w:val="Hlavika"/>
      <w:ind w:right="360"/>
      <w:rPr>
        <w:rFonts w:cs="Arial"/>
      </w:rPr>
    </w:pPr>
    <w:r w:rsidRPr="00473012">
      <w:rPr>
        <w:rFonts w:cs="Arial"/>
      </w:rPr>
      <w:t xml:space="preserve">Názov zákazky : </w:t>
    </w:r>
    <w:r>
      <w:rPr>
        <w:rFonts w:cs="Arial"/>
      </w:rPr>
      <w:fldChar w:fldCharType="begin"/>
    </w:r>
    <w:r>
      <w:rPr>
        <w:rFonts w:cs="Arial"/>
      </w:rPr>
      <w:instrText xml:space="preserve"> DOCPROPERTY  ZAK_STAVBA1  \* MERGEFORMAT </w:instrText>
    </w:r>
    <w:r>
      <w:rPr>
        <w:rFonts w:cs="Arial"/>
      </w:rPr>
      <w:fldChar w:fldCharType="separate"/>
    </w:r>
    <w:r w:rsidR="009F2693">
      <w:rPr>
        <w:rFonts w:cs="Arial"/>
      </w:rPr>
      <w:t>ZMENA DOKONČENEJ STAVBY PRÍSTAVBOU</w:t>
    </w:r>
    <w:r>
      <w:rPr>
        <w:rFonts w:cs="Arial"/>
      </w:rPr>
      <w:fldChar w:fldCharType="end"/>
    </w:r>
    <w:r w:rsidRPr="00473012">
      <w:rPr>
        <w:rFonts w:cs="Arial"/>
      </w:rPr>
      <w:t xml:space="preserve"> </w:t>
    </w:r>
  </w:p>
  <w:p w14:paraId="26BC7E80" w14:textId="60E99445" w:rsidR="003D0243" w:rsidRPr="00473012" w:rsidRDefault="003D0243" w:rsidP="003D0243">
    <w:pPr>
      <w:pStyle w:val="Hlavika"/>
      <w:ind w:right="360"/>
      <w:rPr>
        <w:rFonts w:cs="Arial"/>
      </w:rPr>
    </w:pPr>
    <w:r w:rsidRPr="00473012">
      <w:rPr>
        <w:rFonts w:cs="Arial"/>
      </w:rPr>
      <w:t xml:space="preserve">Diel                   : </w:t>
    </w:r>
    <w:r>
      <w:rPr>
        <w:rFonts w:cs="Arial"/>
      </w:rPr>
      <w:fldChar w:fldCharType="begin"/>
    </w:r>
    <w:r>
      <w:rPr>
        <w:rFonts w:cs="Arial"/>
      </w:rPr>
      <w:instrText xml:space="preserve"> DOCPROPERTY  ZAK_PROF_KRATK_PLUS_DLHY  \* MERGEFORMAT </w:instrText>
    </w:r>
    <w:r>
      <w:rPr>
        <w:rFonts w:cs="Arial"/>
      </w:rPr>
      <w:fldChar w:fldCharType="separate"/>
    </w:r>
    <w:r w:rsidR="009F2693">
      <w:rPr>
        <w:rFonts w:cs="Arial"/>
      </w:rPr>
      <w:t>OPZ - ODBERNÉ PLYNOVÉ ZARIADENIE</w:t>
    </w:r>
    <w:r>
      <w:rPr>
        <w:rFonts w:cs="Arial"/>
      </w:rPr>
      <w:fldChar w:fldCharType="end"/>
    </w:r>
  </w:p>
  <w:p w14:paraId="284DCD84" w14:textId="77777777" w:rsidR="003D0243" w:rsidRPr="00473012" w:rsidRDefault="003D0243" w:rsidP="003D0243">
    <w:pPr>
      <w:pStyle w:val="Hlavika"/>
      <w:ind w:right="360"/>
      <w:rPr>
        <w:rFonts w:cs="Arial"/>
      </w:rPr>
    </w:pPr>
    <w:r w:rsidRPr="00473012">
      <w:rPr>
        <w:rFonts w:cs="Arial"/>
        <w:noProof/>
        <w:lang w:val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BD212B3" wp14:editId="55243D62">
              <wp:simplePos x="0" y="0"/>
              <wp:positionH relativeFrom="column">
                <wp:posOffset>-54610</wp:posOffset>
              </wp:positionH>
              <wp:positionV relativeFrom="paragraph">
                <wp:posOffset>60960</wp:posOffset>
              </wp:positionV>
              <wp:extent cx="6537960" cy="0"/>
              <wp:effectExtent l="0" t="0" r="0" b="0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4B0AEC" id="Rovná spojnica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pt,4.8pt" to="510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"/>
          </w:pict>
        </mc:Fallback>
      </mc:AlternateContent>
    </w:r>
  </w:p>
  <w:p w14:paraId="35D5732B" w14:textId="2E9A80F2" w:rsidR="003600A1" w:rsidRDefault="003600A1" w:rsidP="0029610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949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" w15:restartNumberingAfterBreak="0">
    <w:nsid w:val="11D5474B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33123"/>
    <w:multiLevelType w:val="hybridMultilevel"/>
    <w:tmpl w:val="A0BE24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D6D30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7" w15:restartNumberingAfterBreak="0">
    <w:nsid w:val="26B221AF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2B157191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9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5192B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1" w15:restartNumberingAfterBreak="0">
    <w:nsid w:val="42B67BD0"/>
    <w:multiLevelType w:val="hybridMultilevel"/>
    <w:tmpl w:val="73FE6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2E3092"/>
    <w:multiLevelType w:val="singleLevel"/>
    <w:tmpl w:val="45BA8262"/>
    <w:lvl w:ilvl="0">
      <w:start w:val="949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73363145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0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21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60AD8"/>
    <w:multiLevelType w:val="hybridMultilevel"/>
    <w:tmpl w:val="0FAEDBCE"/>
    <w:lvl w:ilvl="0" w:tplc="E99495B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9"/>
  </w:num>
  <w:num w:numId="3">
    <w:abstractNumId w:val="0"/>
  </w:num>
  <w:num w:numId="4">
    <w:abstractNumId w:val="12"/>
  </w:num>
  <w:num w:numId="5">
    <w:abstractNumId w:val="15"/>
  </w:num>
  <w:num w:numId="6">
    <w:abstractNumId w:val="12"/>
  </w:num>
  <w:num w:numId="7">
    <w:abstractNumId w:val="12"/>
  </w:num>
  <w:num w:numId="8">
    <w:abstractNumId w:val="12"/>
  </w:num>
  <w:num w:numId="9">
    <w:abstractNumId w:val="20"/>
  </w:num>
  <w:num w:numId="10">
    <w:abstractNumId w:val="17"/>
  </w:num>
  <w:num w:numId="11">
    <w:abstractNumId w:val="16"/>
  </w:num>
  <w:num w:numId="12">
    <w:abstractNumId w:val="2"/>
  </w:num>
  <w:num w:numId="13">
    <w:abstractNumId w:val="4"/>
  </w:num>
  <w:num w:numId="14">
    <w:abstractNumId w:val="14"/>
  </w:num>
  <w:num w:numId="15">
    <w:abstractNumId w:val="13"/>
  </w:num>
  <w:num w:numId="16">
    <w:abstractNumId w:val="19"/>
  </w:num>
  <w:num w:numId="17">
    <w:abstractNumId w:val="22"/>
  </w:num>
  <w:num w:numId="18">
    <w:abstractNumId w:val="6"/>
  </w:num>
  <w:num w:numId="19">
    <w:abstractNumId w:val="7"/>
  </w:num>
  <w:num w:numId="20">
    <w:abstractNumId w:val="10"/>
  </w:num>
  <w:num w:numId="21">
    <w:abstractNumId w:val="8"/>
  </w:num>
  <w:num w:numId="22">
    <w:abstractNumId w:val="3"/>
  </w:num>
  <w:num w:numId="23">
    <w:abstractNumId w:val="18"/>
  </w:num>
  <w:num w:numId="24">
    <w:abstractNumId w:val="1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074"/>
    <w:rsid w:val="00012217"/>
    <w:rsid w:val="00015108"/>
    <w:rsid w:val="000229BC"/>
    <w:rsid w:val="00023EFF"/>
    <w:rsid w:val="00037C50"/>
    <w:rsid w:val="00055D2B"/>
    <w:rsid w:val="00055E5A"/>
    <w:rsid w:val="00061795"/>
    <w:rsid w:val="00072B97"/>
    <w:rsid w:val="000841D1"/>
    <w:rsid w:val="000B3414"/>
    <w:rsid w:val="000C5997"/>
    <w:rsid w:val="000C7598"/>
    <w:rsid w:val="000D5537"/>
    <w:rsid w:val="000E0532"/>
    <w:rsid w:val="000E282B"/>
    <w:rsid w:val="001114CC"/>
    <w:rsid w:val="00123B9C"/>
    <w:rsid w:val="00125E98"/>
    <w:rsid w:val="00126222"/>
    <w:rsid w:val="0013725B"/>
    <w:rsid w:val="00142BCC"/>
    <w:rsid w:val="00150B59"/>
    <w:rsid w:val="00154DD4"/>
    <w:rsid w:val="00155109"/>
    <w:rsid w:val="00165E47"/>
    <w:rsid w:val="00166848"/>
    <w:rsid w:val="001958EC"/>
    <w:rsid w:val="001A1BD2"/>
    <w:rsid w:val="001B17DE"/>
    <w:rsid w:val="001C1A60"/>
    <w:rsid w:val="001D3CC8"/>
    <w:rsid w:val="001D61D2"/>
    <w:rsid w:val="001D7985"/>
    <w:rsid w:val="001E7312"/>
    <w:rsid w:val="0020101B"/>
    <w:rsid w:val="0020174B"/>
    <w:rsid w:val="00201F81"/>
    <w:rsid w:val="002146FE"/>
    <w:rsid w:val="0021503D"/>
    <w:rsid w:val="00215B7A"/>
    <w:rsid w:val="00216C3C"/>
    <w:rsid w:val="00227A77"/>
    <w:rsid w:val="00243FEA"/>
    <w:rsid w:val="0026306B"/>
    <w:rsid w:val="00263D8D"/>
    <w:rsid w:val="00296103"/>
    <w:rsid w:val="002A0A93"/>
    <w:rsid w:val="002B36B0"/>
    <w:rsid w:val="002C5FEC"/>
    <w:rsid w:val="002D3B23"/>
    <w:rsid w:val="002E5D14"/>
    <w:rsid w:val="00313F42"/>
    <w:rsid w:val="00317B47"/>
    <w:rsid w:val="003231A0"/>
    <w:rsid w:val="003600A1"/>
    <w:rsid w:val="00362233"/>
    <w:rsid w:val="00364B58"/>
    <w:rsid w:val="00375F85"/>
    <w:rsid w:val="00376CDB"/>
    <w:rsid w:val="00384ED6"/>
    <w:rsid w:val="00387592"/>
    <w:rsid w:val="003978F8"/>
    <w:rsid w:val="00397D3A"/>
    <w:rsid w:val="003B0668"/>
    <w:rsid w:val="003C3347"/>
    <w:rsid w:val="003C62F1"/>
    <w:rsid w:val="003D0243"/>
    <w:rsid w:val="003D3C9E"/>
    <w:rsid w:val="003D6C8C"/>
    <w:rsid w:val="003F0C3F"/>
    <w:rsid w:val="003F0D84"/>
    <w:rsid w:val="003F28EB"/>
    <w:rsid w:val="003F7FEF"/>
    <w:rsid w:val="00402481"/>
    <w:rsid w:val="00404274"/>
    <w:rsid w:val="00407829"/>
    <w:rsid w:val="004218D0"/>
    <w:rsid w:val="004323C9"/>
    <w:rsid w:val="00444595"/>
    <w:rsid w:val="0044486D"/>
    <w:rsid w:val="004644AE"/>
    <w:rsid w:val="00473890"/>
    <w:rsid w:val="004819B1"/>
    <w:rsid w:val="00485D2F"/>
    <w:rsid w:val="004900EC"/>
    <w:rsid w:val="004A0EC7"/>
    <w:rsid w:val="004A58BD"/>
    <w:rsid w:val="004D0A4A"/>
    <w:rsid w:val="004D55B5"/>
    <w:rsid w:val="004E3E7C"/>
    <w:rsid w:val="004E72D4"/>
    <w:rsid w:val="004E735C"/>
    <w:rsid w:val="004F072C"/>
    <w:rsid w:val="00520D12"/>
    <w:rsid w:val="005213CD"/>
    <w:rsid w:val="00524743"/>
    <w:rsid w:val="0052485E"/>
    <w:rsid w:val="00525679"/>
    <w:rsid w:val="00525A91"/>
    <w:rsid w:val="00530718"/>
    <w:rsid w:val="00532B1C"/>
    <w:rsid w:val="00570397"/>
    <w:rsid w:val="005725C0"/>
    <w:rsid w:val="00572C95"/>
    <w:rsid w:val="00590EF8"/>
    <w:rsid w:val="005A1D91"/>
    <w:rsid w:val="005B24A4"/>
    <w:rsid w:val="005B7DA1"/>
    <w:rsid w:val="005D0824"/>
    <w:rsid w:val="005D60B1"/>
    <w:rsid w:val="005F16A3"/>
    <w:rsid w:val="005F2193"/>
    <w:rsid w:val="005F7E60"/>
    <w:rsid w:val="00606A5B"/>
    <w:rsid w:val="0060772A"/>
    <w:rsid w:val="00643A6C"/>
    <w:rsid w:val="0064516D"/>
    <w:rsid w:val="0064723B"/>
    <w:rsid w:val="006560E9"/>
    <w:rsid w:val="00677908"/>
    <w:rsid w:val="00685BD8"/>
    <w:rsid w:val="0068797B"/>
    <w:rsid w:val="00696F0A"/>
    <w:rsid w:val="006977A6"/>
    <w:rsid w:val="006A0DC7"/>
    <w:rsid w:val="006A3252"/>
    <w:rsid w:val="006A6041"/>
    <w:rsid w:val="006A763D"/>
    <w:rsid w:val="006A7BB4"/>
    <w:rsid w:val="006A7F4E"/>
    <w:rsid w:val="006D6468"/>
    <w:rsid w:val="006E29D1"/>
    <w:rsid w:val="006F0D97"/>
    <w:rsid w:val="006F48FC"/>
    <w:rsid w:val="006F6F9D"/>
    <w:rsid w:val="00713F7C"/>
    <w:rsid w:val="00717FDB"/>
    <w:rsid w:val="0072255A"/>
    <w:rsid w:val="00724C6D"/>
    <w:rsid w:val="00733896"/>
    <w:rsid w:val="00734572"/>
    <w:rsid w:val="0075022F"/>
    <w:rsid w:val="0075269C"/>
    <w:rsid w:val="00756EF2"/>
    <w:rsid w:val="007702A4"/>
    <w:rsid w:val="00773544"/>
    <w:rsid w:val="00776651"/>
    <w:rsid w:val="0077672A"/>
    <w:rsid w:val="0079242D"/>
    <w:rsid w:val="007A3456"/>
    <w:rsid w:val="007A4EA8"/>
    <w:rsid w:val="007A6BFA"/>
    <w:rsid w:val="007B5873"/>
    <w:rsid w:val="007C2999"/>
    <w:rsid w:val="007D3900"/>
    <w:rsid w:val="007E45B3"/>
    <w:rsid w:val="007F0D1F"/>
    <w:rsid w:val="00802FE6"/>
    <w:rsid w:val="00804DCE"/>
    <w:rsid w:val="00807011"/>
    <w:rsid w:val="008138D4"/>
    <w:rsid w:val="008204A3"/>
    <w:rsid w:val="00862FEB"/>
    <w:rsid w:val="008638C3"/>
    <w:rsid w:val="0087416F"/>
    <w:rsid w:val="008A2910"/>
    <w:rsid w:val="008A6988"/>
    <w:rsid w:val="008C18B4"/>
    <w:rsid w:val="008C2312"/>
    <w:rsid w:val="008C5A32"/>
    <w:rsid w:val="008C5FDC"/>
    <w:rsid w:val="008E0CB7"/>
    <w:rsid w:val="008F1285"/>
    <w:rsid w:val="008F1E18"/>
    <w:rsid w:val="008F37EF"/>
    <w:rsid w:val="00902074"/>
    <w:rsid w:val="00930562"/>
    <w:rsid w:val="00933D0F"/>
    <w:rsid w:val="009357EB"/>
    <w:rsid w:val="00935A5E"/>
    <w:rsid w:val="00946A3A"/>
    <w:rsid w:val="00961437"/>
    <w:rsid w:val="0098661B"/>
    <w:rsid w:val="009938D6"/>
    <w:rsid w:val="0099687A"/>
    <w:rsid w:val="009A14B6"/>
    <w:rsid w:val="009B6747"/>
    <w:rsid w:val="009C5EBD"/>
    <w:rsid w:val="009C64EC"/>
    <w:rsid w:val="009F2693"/>
    <w:rsid w:val="009F6FC1"/>
    <w:rsid w:val="009F7A56"/>
    <w:rsid w:val="00A0149E"/>
    <w:rsid w:val="00A0651B"/>
    <w:rsid w:val="00A07202"/>
    <w:rsid w:val="00A1157A"/>
    <w:rsid w:val="00A268A2"/>
    <w:rsid w:val="00A365E1"/>
    <w:rsid w:val="00A54A51"/>
    <w:rsid w:val="00A81C20"/>
    <w:rsid w:val="00A867B0"/>
    <w:rsid w:val="00AA6E2A"/>
    <w:rsid w:val="00AA7522"/>
    <w:rsid w:val="00AB3862"/>
    <w:rsid w:val="00AB3900"/>
    <w:rsid w:val="00AC7904"/>
    <w:rsid w:val="00AD4F1E"/>
    <w:rsid w:val="00B010DC"/>
    <w:rsid w:val="00B03D63"/>
    <w:rsid w:val="00B10D4A"/>
    <w:rsid w:val="00B130DE"/>
    <w:rsid w:val="00B2513F"/>
    <w:rsid w:val="00B3330E"/>
    <w:rsid w:val="00B67550"/>
    <w:rsid w:val="00B7582E"/>
    <w:rsid w:val="00B858FB"/>
    <w:rsid w:val="00BA4A6F"/>
    <w:rsid w:val="00BB0FA4"/>
    <w:rsid w:val="00BC1514"/>
    <w:rsid w:val="00BC2ABF"/>
    <w:rsid w:val="00BD2994"/>
    <w:rsid w:val="00BD77F4"/>
    <w:rsid w:val="00BD7BC7"/>
    <w:rsid w:val="00BE1737"/>
    <w:rsid w:val="00BF0A3B"/>
    <w:rsid w:val="00BF26F2"/>
    <w:rsid w:val="00BF39EB"/>
    <w:rsid w:val="00C02D3A"/>
    <w:rsid w:val="00C04DAE"/>
    <w:rsid w:val="00C0723A"/>
    <w:rsid w:val="00C20AEA"/>
    <w:rsid w:val="00C2459F"/>
    <w:rsid w:val="00C46E56"/>
    <w:rsid w:val="00C50D60"/>
    <w:rsid w:val="00C61347"/>
    <w:rsid w:val="00C811F8"/>
    <w:rsid w:val="00C871E7"/>
    <w:rsid w:val="00C87AB7"/>
    <w:rsid w:val="00CB4966"/>
    <w:rsid w:val="00CB4D94"/>
    <w:rsid w:val="00CC42A6"/>
    <w:rsid w:val="00CD4D42"/>
    <w:rsid w:val="00CE2B0B"/>
    <w:rsid w:val="00CF26B9"/>
    <w:rsid w:val="00D0042B"/>
    <w:rsid w:val="00D25583"/>
    <w:rsid w:val="00D36FB0"/>
    <w:rsid w:val="00D40230"/>
    <w:rsid w:val="00D40BDF"/>
    <w:rsid w:val="00D73371"/>
    <w:rsid w:val="00D82934"/>
    <w:rsid w:val="00D97189"/>
    <w:rsid w:val="00DA02F2"/>
    <w:rsid w:val="00DA1219"/>
    <w:rsid w:val="00DA14DD"/>
    <w:rsid w:val="00DA3026"/>
    <w:rsid w:val="00DF10A4"/>
    <w:rsid w:val="00DF3336"/>
    <w:rsid w:val="00DF5A55"/>
    <w:rsid w:val="00E018A2"/>
    <w:rsid w:val="00E12532"/>
    <w:rsid w:val="00E26CF8"/>
    <w:rsid w:val="00E4122B"/>
    <w:rsid w:val="00E4129B"/>
    <w:rsid w:val="00E53B10"/>
    <w:rsid w:val="00E54D22"/>
    <w:rsid w:val="00E56955"/>
    <w:rsid w:val="00E56E3E"/>
    <w:rsid w:val="00E60550"/>
    <w:rsid w:val="00E628B9"/>
    <w:rsid w:val="00E70944"/>
    <w:rsid w:val="00E821C8"/>
    <w:rsid w:val="00E900CF"/>
    <w:rsid w:val="00E907D3"/>
    <w:rsid w:val="00EA187E"/>
    <w:rsid w:val="00EB14C5"/>
    <w:rsid w:val="00EB7E75"/>
    <w:rsid w:val="00EC3417"/>
    <w:rsid w:val="00EC65C2"/>
    <w:rsid w:val="00F06C22"/>
    <w:rsid w:val="00F233E9"/>
    <w:rsid w:val="00F4478C"/>
    <w:rsid w:val="00F65370"/>
    <w:rsid w:val="00F70F48"/>
    <w:rsid w:val="00F753CA"/>
    <w:rsid w:val="00F756D3"/>
    <w:rsid w:val="00F76EDB"/>
    <w:rsid w:val="00FA0753"/>
    <w:rsid w:val="00FA7305"/>
    <w:rsid w:val="00FB3272"/>
    <w:rsid w:val="00FE0E56"/>
    <w:rsid w:val="00FE5E9D"/>
    <w:rsid w:val="00FF7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7145A4FE"/>
  <w15:docId w15:val="{2E8D9410-4F7E-4635-9A57-889B2C1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2994"/>
    <w:pPr>
      <w:spacing w:after="0" w:line="240" w:lineRule="auto"/>
    </w:pPr>
    <w:rPr>
      <w:rFonts w:ascii="Arial Narrow" w:hAnsi="Arial Narrow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702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2255A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1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aliases w:val="g"/>
    <w:basedOn w:val="Normlny"/>
    <w:link w:val="HlavikaChar"/>
    <w:uiPriority w:val="99"/>
    <w:unhideWhenUsed/>
    <w:rsid w:val="003C33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g Char"/>
    <w:basedOn w:val="Predvolenpsmoodseku"/>
    <w:link w:val="Hlavika"/>
    <w:uiPriority w:val="99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hidden/>
    </w:trPr>
  </w:style>
  <w:style w:type="paragraph" w:styleId="Textbubliny">
    <w:name w:val="Balloon Text"/>
    <w:basedOn w:val="Normlny"/>
    <w:link w:val="TextbublinyChar"/>
    <w:unhideWhenUsed/>
    <w:rsid w:val="00F06C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06C22"/>
    <w:rPr>
      <w:rFonts w:ascii="Segoe UI" w:hAnsi="Segoe UI" w:cs="Segoe UI"/>
      <w:sz w:val="18"/>
      <w:szCs w:val="18"/>
    </w:rPr>
  </w:style>
  <w:style w:type="paragraph" w:styleId="Zkladntext">
    <w:name w:val="Body Text"/>
    <w:aliases w:val="Základný text odstavca,text"/>
    <w:basedOn w:val="Normlny"/>
    <w:link w:val="ZkladntextChar"/>
    <w:semiHidden/>
    <w:rsid w:val="00B3330E"/>
    <w:pPr>
      <w:jc w:val="both"/>
    </w:pPr>
    <w:rPr>
      <w:rFonts w:ascii="Verdana" w:eastAsia="Times New Roman" w:hAnsi="Verdan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aliases w:val="Základný text odstavca Char,text Char"/>
    <w:basedOn w:val="Predvolenpsmoodseku"/>
    <w:link w:val="Zkladntext"/>
    <w:semiHidden/>
    <w:rsid w:val="00B3330E"/>
    <w:rPr>
      <w:rFonts w:ascii="Verdana" w:eastAsia="Times New Roman" w:hAnsi="Verdana" w:cs="Times New Roman"/>
      <w:sz w:val="24"/>
      <w:szCs w:val="20"/>
      <w:lang w:val="cs-CZ" w:eastAsia="cs-CZ"/>
    </w:rPr>
  </w:style>
  <w:style w:type="paragraph" w:customStyle="1" w:styleId="WW-Zkladntextodsazen3">
    <w:name w:val="WW-Základní text odsazený 3"/>
    <w:basedOn w:val="Normlny"/>
    <w:rsid w:val="0020174B"/>
    <w:pPr>
      <w:suppressAutoHyphens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72255A"/>
    <w:pPr>
      <w:spacing w:before="240" w:line="259" w:lineRule="auto"/>
      <w:outlineLvl w:val="9"/>
    </w:pPr>
    <w:rPr>
      <w:b w:val="0"/>
      <w:bCs w:val="0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702A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2255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2255A"/>
    <w:rPr>
      <w:rFonts w:ascii="Arial" w:hAnsi="Arial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2255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2255A"/>
    <w:rPr>
      <w:rFonts w:ascii="Arial" w:hAnsi="Arial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72255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2255A"/>
    <w:rPr>
      <w:rFonts w:ascii="Arial" w:hAnsi="Arial"/>
    </w:rPr>
  </w:style>
  <w:style w:type="character" w:customStyle="1" w:styleId="Nadpis6Char">
    <w:name w:val="Nadpis 6 Char"/>
    <w:basedOn w:val="Predvolenpsmoodseku"/>
    <w:link w:val="Nadpis6"/>
    <w:rsid w:val="0072255A"/>
    <w:rPr>
      <w:rFonts w:ascii="Times New Roman" w:eastAsia="Times New Roman" w:hAnsi="Times New Roman" w:cs="Times New Roman"/>
      <w:b/>
      <w:bCs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72255A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72255A"/>
    <w:rPr>
      <w:color w:val="0000FF" w:themeColor="hyperlink"/>
      <w:u w:val="single"/>
    </w:rPr>
  </w:style>
  <w:style w:type="character" w:styleId="slostrany">
    <w:name w:val="page number"/>
    <w:basedOn w:val="Predvolenpsmoodseku"/>
    <w:rsid w:val="007702A4"/>
  </w:style>
  <w:style w:type="paragraph" w:styleId="Zarkazkladnhotextu3">
    <w:name w:val="Body Text Indent 3"/>
    <w:basedOn w:val="Normlny"/>
    <w:link w:val="Zarkazkladnhotextu3Char"/>
    <w:uiPriority w:val="99"/>
    <w:unhideWhenUsed/>
    <w:rsid w:val="00BD2994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BD2994"/>
    <w:rPr>
      <w:rFonts w:ascii="Arial" w:hAnsi="Arial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BD299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BD2994"/>
    <w:rPr>
      <w:rFonts w:ascii="Arial" w:hAnsi="Arial"/>
      <w:sz w:val="16"/>
      <w:szCs w:val="16"/>
    </w:rPr>
  </w:style>
  <w:style w:type="paragraph" w:customStyle="1" w:styleId="Zkladntext21">
    <w:name w:val="Základný text 21"/>
    <w:basedOn w:val="Normlny"/>
    <w:rsid w:val="00DF5A55"/>
    <w:pPr>
      <w:tabs>
        <w:tab w:val="left" w:pos="360"/>
      </w:tabs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9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ABE8-C5DE-4BCF-8873-7E5E965E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4</Pages>
  <Words>2088</Words>
  <Characters>12132</Characters>
  <Application>Microsoft Office Word</Application>
  <DocSecurity>0</DocSecurity>
  <Lines>295</Lines>
  <Paragraphs>206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Ľuboš Mitošinka</cp:lastModifiedBy>
  <cp:revision>78</cp:revision>
  <cp:lastPrinted>2021-12-10T13:06:00Z</cp:lastPrinted>
  <dcterms:created xsi:type="dcterms:W3CDTF">2017-02-22T14:36:00Z</dcterms:created>
  <dcterms:modified xsi:type="dcterms:W3CDTF">2021-12-10T13:06:00Z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AK_INVESTOR1">
    <vt:lpwstr>KOMPAVA SPOL. S.R.O.</vt:lpwstr>
  </property>
  <property fmtid="{D5CDD505-2E9C-101B-9397-08002B2CF9AE}" pid="3" name="ZAK_INVESTOR2">
    <vt:lpwstr>PIEŠŤANSKÁ 1202/44, 915 01 NOVE MESTO N./V.</vt:lpwstr>
  </property>
  <property fmtid="{D5CDD505-2E9C-101B-9397-08002B2CF9AE}" pid="4" name="ZAK_STAVBA1">
    <vt:lpwstr>ZMENA DOKONČENEJ STAVBY PRÍSTAVBOU</vt:lpwstr>
  </property>
  <property fmtid="{D5CDD505-2E9C-101B-9397-08002B2CF9AE}" pid="5" name="ZAK_STAVBA2">
    <vt:lpwstr>A STAVEBNÝMI ÚPRAVAMI </vt:lpwstr>
  </property>
  <property fmtid="{D5CDD505-2E9C-101B-9397-08002B2CF9AE}" pid="6" name="ZAK_MIESTO">
    <vt:lpwstr>K.Ú. NOVÉ MESTO NAD VÁHOM, PARC.Č.2418/3, 2418/38, 2412/2, 2412/6</vt:lpwstr>
  </property>
  <property fmtid="{D5CDD505-2E9C-101B-9397-08002B2CF9AE}" pid="7" name="ZAK_STUPEN">
    <vt:lpwstr>DSP</vt:lpwstr>
  </property>
  <property fmtid="{D5CDD505-2E9C-101B-9397-08002B2CF9AE}" pid="8" name="ZAK_CISLO">
    <vt:lpwstr>0063</vt:lpwstr>
  </property>
  <property fmtid="{D5CDD505-2E9C-101B-9397-08002B2CF9AE}" pid="9" name="ZAK_SO">
    <vt:lpwstr/>
  </property>
  <property fmtid="{D5CDD505-2E9C-101B-9397-08002B2CF9AE}" pid="10" name="ZAK_DATUM">
    <vt:lpwstr>11/21</vt:lpwstr>
  </property>
  <property fmtid="{D5CDD505-2E9C-101B-9397-08002B2CF9AE}" pid="11" name="ZAK_HIP">
    <vt:lpwstr>ING.HELENA ČUPKOVÁ</vt:lpwstr>
  </property>
  <property fmtid="{D5CDD505-2E9C-101B-9397-08002B2CF9AE}" pid="12" name="ZAK_ZOD_PRO">
    <vt:lpwstr>ING. ĽUBOŠ MITOŠINKA</vt:lpwstr>
  </property>
  <property fmtid="{D5CDD505-2E9C-101B-9397-08002B2CF9AE}" pid="13" name="ZAK_KRESLIL">
    <vt:lpwstr>ING. ĽUBOŠ MITOŠINKA</vt:lpwstr>
  </property>
  <property fmtid="{D5CDD505-2E9C-101B-9397-08002B2CF9AE}" pid="14" name="ZAK_STUPEN_DLHY">
    <vt:lpwstr>PRE STAVEBNÉ POVOLENIE</vt:lpwstr>
  </property>
  <property fmtid="{D5CDD505-2E9C-101B-9397-08002B2CF9AE}" pid="15" name="ZAK_CISLO_DOK">
    <vt:lpwstr>OPZ-T2</vt:lpwstr>
  </property>
  <property fmtid="{D5CDD505-2E9C-101B-9397-08002B2CF9AE}" pid="16" name="ZAK_SADA">
    <vt:lpwstr>1</vt:lpwstr>
  </property>
  <property fmtid="{D5CDD505-2E9C-101B-9397-08002B2CF9AE}" pid="17" name="ZAK_NAZOV_DIG_DOK">
    <vt:lpwstr>0063_OPZ_Technická_správa.docx</vt:lpwstr>
  </property>
  <property fmtid="{D5CDD505-2E9C-101B-9397-08002B2CF9AE}" pid="18" name="ZAK_NAZOV_VYK">
    <vt:lpwstr>TECHNICKÁ SPRÁVA</vt:lpwstr>
  </property>
  <property fmtid="{D5CDD505-2E9C-101B-9397-08002B2CF9AE}" pid="19" name="ZAK_PROF_KRATK_PLUS_DLHY">
    <vt:lpwstr>OPZ - ODBERNÉ PLYNOVÉ ZARIADENIE</vt:lpwstr>
  </property>
  <property fmtid="{D5CDD505-2E9C-101B-9397-08002B2CF9AE}" pid="20" name="ZAK_PROF_KRATKY">
    <vt:lpwstr>OPZ</vt:lpwstr>
  </property>
  <property fmtid="{D5CDD505-2E9C-101B-9397-08002B2CF9AE}" pid="21" name="ZAK_PROF_DLHY">
    <vt:lpwstr>ODBERNÉ PLYNOVÉ ZARIADENIE</vt:lpwstr>
  </property>
</Properties>
</file>